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l-GR" w:eastAsia="ja-JP"/>
        </w:rPr>
        <w:id w:val="-1679030628"/>
        <w:docPartObj>
          <w:docPartGallery w:val="Cover Pages"/>
          <w:docPartUnique/>
        </w:docPartObj>
      </w:sdtPr>
      <w:sdtEndPr>
        <w:rPr>
          <w:color w:val="FFFFFF" w:themeColor="background1"/>
          <w:lang w:val="en-GB" w:eastAsia="hu-HU"/>
        </w:rPr>
      </w:sdtEndPr>
      <w:sdtContent>
        <w:p w:rsidR="00903A78" w:rsidRDefault="005D0114">
          <w:pPr>
            <w:pStyle w:val="Nincstrkz"/>
          </w:pPr>
          <w:r>
            <w:rPr>
              <w:noProof/>
              <w:lang w:val="hu-HU" w:eastAsia="hu-HU"/>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79675" cy="10157460"/>
                    <wp:effectExtent l="0" t="0" r="635" b="152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9675" cy="10157460"/>
                              <a:chOff x="0" y="0"/>
                              <a:chExt cx="2194560" cy="9125712"/>
                            </a:xfrm>
                          </wpg:grpSpPr>
                          <wps:wsp>
                            <wps:cNvPr id="4" name="Rectangle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agon 5"/>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146D72" w:rsidRDefault="00146D72">
                                      <w:pPr>
                                        <w:pStyle w:val="Nincstrkz"/>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49" name="Group 449"/>
                              <wpg:cNvGrpSpPr>
                                <a:grpSpLocks noChangeAspect="1"/>
                              </wpg:cNvGrpSpPr>
                              <wpg:grpSpPr>
                                <a:xfrm>
                                  <a:off x="80645" y="4826972"/>
                                  <a:ext cx="1306273" cy="2505863"/>
                                  <a:chOff x="80645" y="4649964"/>
                                  <a:chExt cx="874712" cy="1677988"/>
                                </a:xfrm>
                              </wpg:grpSpPr>
                              <wps:wsp>
                                <wps:cNvPr id="450" name="Freeform 45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1" name="Freeform 45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2" name="Freeform 45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9" name="Freeform 45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0" name="Freeform 46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3" o:spid="_x0000_s1026" style="position:absolute;margin-left:0;margin-top:0;width:195.25pt;height:799.8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">
                    <v:rect id="Rectangle 4"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tsMIA&#10;AADaAAAADwAAAGRycy9kb3ducmV2LnhtbESPQWsCMRSE7wX/Q3iCt5q1SF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i2w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xY8MA&#10;AADaAAAADwAAAGRycy9kb3ducmV2LnhtbESPT2sCMRTE74LfIbxCb5qtVClbo6j0j8WTayseH5vn&#10;ZnHzsiRR12/fFAoeh5n5DTOdd7YRF/KhdqzgaZiBIC6drrlS8L17H7yACBFZY+OYFNwowHzW700x&#10;1+7KW7oUsRIJwiFHBSbGNpcylIYshqFriZN3dN5iTNJXUnu8Jrht5CjLJtJizWnBYEsrQ+WpOFsF&#10;m3Nl9jua/LjD54dcRv/8NvpaK/X40C1eQUTq4j38315rBWP4u5Ju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OxY8MAAADaAAAADwAAAAAAAAAAAAAAAACYAgAAZHJzL2Rv&#10;d25yZXYueG1sUEsFBgAAAAAEAAQA9QAAAIgDAAAAAA==&#10;" adj="18883" fillcolor="#4f81bd [3204]"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146D72" w:rsidRDefault="00146D72">
                                <w:pPr>
                                  <w:pStyle w:val="Nincstrkz"/>
                                  <w:jc w:val="right"/>
                                  <w:rPr>
                                    <w:color w:val="FFFFFF" w:themeColor="background1"/>
                                    <w:sz w:val="28"/>
                                    <w:szCs w:val="28"/>
                                  </w:rPr>
                                </w:pPr>
                                <w:r>
                                  <w:rPr>
                                    <w:color w:val="FFFFFF" w:themeColor="background1"/>
                                    <w:sz w:val="28"/>
                                    <w:szCs w:val="28"/>
                                  </w:rPr>
                                  <w:t>[Date]</w:t>
                                </w:r>
                              </w:p>
                            </w:sdtContent>
                          </w:sdt>
                        </w:txbxContent>
                      </v:textbox>
                    </v:shape>
                    <v:group id="Group 6"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nd7sA&#10;AADaAAAADwAAAGRycy9kb3ducmV2LnhtbERPuwrCMBTdBf8hXMFFNNVBpBpFRKmOvvZLc22rzU1p&#10;Yq1+vRkEx8N5L1atKUVDtSssKxiPIhDEqdUFZwou591wBsJ5ZI2lZVLwJgerZbezwFjbFx+pOflM&#10;hBB2MSrIva9iKV2ak0E3shVx4G62NugDrDOpa3yFcFPKSRRNpcGCQ0OOFW1ySh+np1GgP+fENibJ&#10;NoPrYXtbJ7N9cndK9Xvteg7CU+v/4p97rx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gPJ3e7AAAA2gAAAA8AAAAAAAAAAAAAAAAAmAIAAGRycy9kb3ducmV2Lnht&#10;bFBLBQYAAAAABAAEAPUAAACAAw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9"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e5cMA&#10;AADaAAAADwAAAGRycy9kb3ducmV2LnhtbESPwW7CMBBE70j8g7VIvYFDJRBNcVBAasWlB2g/YBsv&#10;cZp4HdmGpH9fV0LiOJqZN5rtbrSduJEPjWMFy0UGgrhyuuFawdfn23wDIkRkjZ1jUvBLAXbFdLLF&#10;XLuBT3Q7x1okCIccFZgY+1zKUBmyGBauJ07exXmLMUlfS+1xSHDbyecsW0uLDacFgz0dDFXt+WoV&#10;XPX68L5aje3P9+BKf/nYl0dnlHqajeUriEhjfITv7aNW8AL/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Ae5cMAAADaAAAADwAAAAAAAAAAAAAAAACYAgAAZHJzL2Rv&#10;d25yZXYueG1sUEsFBgAAAAAEAAQA9QAAAIgD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10"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YdcQA&#10;AADbAAAADwAAAGRycy9kb3ducmV2LnhtbESPQWsCQQyF7wX/wxDBW51VSymro0ihoCIUtQjewk7c&#10;Xd3JLDOjrv++ORR6S3gv732ZLTrXqDuFWHs2MBpmoIgLb2suDfwcvl4/QMWEbLHxTAaeFGEx773M&#10;MLf+wTu671OpJIRjjgaqlNpc61hU5DAOfUss2tkHh0nWUGob8CHhrtHjLHvXDmuWhgpb+qyouO5v&#10;zsD32/OC65vbjSeHbB1w2642x5Mxg363nIJK1KV/89/1ygq+0MsvM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2HXEAAAA2wAAAA8AAAAAAAAAAAAAAAAAmAIAAGRycy9k&#10;b3ducmV2LnhtbFBLBQYAAAAABAAEAPUAAACJAw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1"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c5b8A&#10;AADbAAAADwAAAGRycy9kb3ducmV2LnhtbESPzQrCMBCE74LvEFbwpmk9iFSjiCB68OIfXpdmbYvN&#10;pjZRW5/eCIK3XWZ25tvZojGleFLtCssK4mEEgji1uuBMwem4HkxAOI+ssbRMClpysJh3OzNMtH3x&#10;np4Hn4kQwi5BBbn3VSKlS3My6Ia2Ig7a1dYGfVjrTOoaXyHclHIURWNpsODQkGNFq5zS2+FhFFyy&#10;d1SN7j6ON+c2gL0Lvd21SvV7zXIKwlPj/+bf9VYH/Bi+v4QB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6FzlvwAAANsAAAAPAAAAAAAAAAAAAAAAAJgCAABkcnMvZG93bnJl&#10;di54bWxQSwUGAAAAAAQABAD1AAAAhAM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2"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Fa8EA&#10;AADbAAAADwAAAGRycy9kb3ducmV2LnhtbERPS2vCQBC+C/6HZYTezMaA1qauQYRKaU9VEXqbZicP&#10;zM6G3a1J/323UPA2H99zNsVoOnEj51vLChZJCoK4tLrlWsH59DJfg/ABWWNnmRT8kIdiO51sMNd2&#10;4A+6HUMtYgj7HBU0IfS5lL5syKBPbE8cuco6gyFCV0vtcIjhppNZmq6kwZZjQ4M97Rsqr8dvo8BK&#10;chVdHtun7M2s3sPnoVp+GaUeZuPuGUSgMdzF/+5XHedn8PdLP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8BWvBAAAA2wAAAA8AAAAAAAAAAAAAAAAAmAIAAGRycy9kb3du&#10;cmV2LnhtbFBLBQYAAAAABAAEAPUAAACG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3"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DIr8A&#10;AADbAAAADwAAAGRycy9kb3ducmV2LnhtbERPS2sCMRC+F/wPYQrearbaimyNooLQHn2ex810E3Yz&#10;WZKo23/fFITe5uN7znzZu1bcKETrWcHrqABBXHltuVZwPGxfZiBiQtbYeiYFPxRhuRg8zbHU/s47&#10;uu1TLXIIxxIVmJS6UspYGXIYR74jzty3Dw5ThqGWOuA9h7tWjotiKh1azg0GO9oYqpr91SkIJq2b&#10;43tYvzWb89f2Yu3l5K1Sw+d+9QEiUZ/+xQ/3p87zJ/D3Sz5AL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GcMivwAAANsAAAAPAAAAAAAAAAAAAAAAAJgCAABkcnMvZG93bnJl&#10;di54bWxQSwUGAAAAAAQABAD1AAAAhAMAAAAA&#10;" path="m,l33,69r-9,l12,35,,xe" fillcolor="#1f497d [3215]" strokecolor="#1f497d [3215]" strokeweight="0">
                          <v:path arrowok="t" o:connecttype="custom" o:connectlocs="0,0;52388,109538;38100,109538;19050,55563;0,0" o:connectangles="0,0,0,0,0"/>
                        </v:shape>
                        <v:shape id="Freeform 14"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i3MAA&#10;AADbAAAADwAAAGRycy9kb3ducmV2LnhtbERP3WrCMBS+H/gO4QjejJlOxh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Ki3MAAAADbAAAADwAAAAAAAAAAAAAAAACYAgAAZHJzL2Rvd25y&#10;ZXYueG1sUEsFBgAAAAAEAAQA9QAAAIUDAAAAAA==&#10;" path="m,l9,37r,3l15,93,5,49,,xe" fillcolor="#1f497d [3215]" strokecolor="#1f497d [3215]" strokeweight="0">
                          <v:path arrowok="t" o:connecttype="custom" o:connectlocs="0,0;14288,58738;14288,63500;23813,147638;7938,77788;0,0" o:connectangles="0,0,0,0,0,0"/>
                        </v:shape>
                        <v:shape id="Freeform 15"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IMAA&#10;AADbAAAADwAAAGRycy9kb3ducmV2LnhtbERPTUsDMRC9C/6HMII3m1VokbVpaRXBk2JbKN6GzTRZ&#10;3UxCEjfbf28Ewds83ucs15MbxEgx9Z4V3M4aEMSd1z0bBYf98809iJSRNQ6eScGZEqxXlxdLbLUv&#10;/E7jLhtRQzi1qMDmHFopU2fJYZr5QFy5k48Oc4XRSB2x1HA3yLumWUiHPdcGi4EeLXVfu2+n4Lgw&#10;JcyL/fgMZXs2b0+n12hHpa6vps0DiExT/hf/uV90nT+H31/qAXL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jIMAAAADbAAAADwAAAAAAAAAAAAAAAACYAgAAZHJzL2Rvd25y&#10;ZXYueG1sUEsFBgAAAAAEAAQA9QAAAIU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6"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qL8QA&#10;AADbAAAADwAAAGRycy9kb3ducmV2LnhtbERPTWvCQBC9C/6HZQpeRDfNQUp0lVLRlhYhTUXwNman&#10;STA7G7KrJv31bqHQ2zze5yxWnanFlVpXWVbwOI1AEOdWV1wo2H9tJk8gnEfWWFsmBT05WC2HgwUm&#10;2t74k66ZL0QIYZeggtL7JpHS5SUZdFPbEAfu27YGfYBtIXWLtxBuahlH0UwarDg0lNjQS0n5ObsY&#10;Bbt3f+Rxmp7in9ftetsf4o+0j5UaPXTPcxCeOv8v/nO/6TB/Br+/h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Ki/EAAAA2wAAAA8AAAAAAAAAAAAAAAAAmAIAAGRycy9k&#10;b3ducmV2LnhtbFBLBQYAAAAABAAEAPUAAACJAw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17"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T68IA&#10;AADbAAAADwAAAGRycy9kb3ducmV2LnhtbERPS2vCQBC+C/6HZYTedFMRK9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FPrwgAAANsAAAAPAAAAAAAAAAAAAAAAAJgCAABkcnMvZG93&#10;bnJldi54bWxQSwUGAAAAAAQABAD1AAAAhwMAAAAA&#10;" path="m,l31,65r-8,l,xe" fillcolor="#1f497d [3215]" strokecolor="#1f497d [3215]" strokeweight="0">
                          <v:path arrowok="t" o:connecttype="custom" o:connectlocs="0,0;49213,103188;36513,103188;0,0" o:connectangles="0,0,0,0"/>
                        </v:shape>
                        <v:shape id="Freeform 18"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3LSMUA&#10;AADbAAAADwAAAGRycy9kb3ducmV2LnhtbESPQW/CMAyF75P4D5En7TbScRhbISBAQuI0aZRN2s1q&#10;TFtonJJk0PHr8QFpN1vv+b3P03nvWnWmEBvPBl6GGSji0tuGKwO7Yv38BiomZIutZzLwRxHms8HD&#10;FHPrL/xJ522qlIRwzNFAnVKXax3LmhzGoe+IRdv74DDJGiptA14k3LV6lGWv2mHD0lBjR6uayuP2&#10;1xk4bK788zFerk/dOzfL6lB8fYfCmKfHfjEBlahP/+b79cYKvsDKLzK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ctIxQAAANsAAAAPAAAAAAAAAAAAAAAAAJgCAABkcnMv&#10;ZG93bnJldi54bWxQSwUGAAAAAAQABAD1AAAAigMAAAAA&#10;" path="m,l6,17,7,42,6,39,,23,,xe" fillcolor="#1f497d [3215]" strokecolor="#1f497d [3215]" strokeweight="0">
                          <v:path arrowok="t" o:connecttype="custom" o:connectlocs="0,0;9525,26988;11113,66675;9525,61913;0,36513;0,0" o:connectangles="0,0,0,0,0,0"/>
                        </v:shape>
                        <v:shape id="Freeform 448"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sOcEA&#10;AADcAAAADwAAAGRycy9kb3ducmV2LnhtbERPy4rCMBTdC/5DuII7TRUZpGMURxBFGPC1cXdprm1n&#10;mpuaRNvx6ycLweXhvGeL1lTiQc6XlhWMhgkI4szqknMF59N6MAXhA7LGyjIp+CMPi3m3M8NU24YP&#10;9DiGXMQQ9ikqKEKoUyl9VpBBP7Q1ceSu1hkMEbpcaodNDDeVHCfJhzRYcmwosKZVQdnv8W4U2Ca7&#10;f7lLhbflj9k8r9/NePfcK9XvtctPEIHa8Ba/3FutYDKJa+OZeAT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xLDnBAAAA3AAAAA8AAAAAAAAAAAAAAAAAmAIAAGRycy9kb3du&#10;cmV2LnhtbFBLBQYAAAAABAAEAPUAAACGAw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449"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o:lock v:ext="edit" aspectratio="t"/>
                        <v:shape id="Freeform 450"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M9kMQA&#10;AADcAAAADwAAAGRycy9kb3ducmV2LnhtbERPy2oCMRTdF/oP4Rbc1YylFhmNIgXbLupbweVlcp2Z&#10;dnIznWQ0+vVmUXB5OO/RJJhKnKhxpWUFvW4CgjizuuRcwW47ex6AcB5ZY2WZFFzIwWT8+DDCVNsz&#10;r+m08bmIIexSVFB4X6dSuqwgg65ra+LIHW1j0EfY5FI3eI7hppIvSfImDZYcGwqs6b2g7HfTGgWL&#10;+fWw/Fy1s5/vYP7a/SJ8zJdBqc5TmA5BeAr+Lv53f2kFr/04P56JR0C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TPZDEAAAA3AAAAA8AAAAAAAAAAAAAAAAAmAIAAGRycy9k&#10;b3ducmV2LnhtbFBLBQYAAAAABAAEAPUAAACJAw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451"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o2cQA&#10;AADcAAAADwAAAGRycy9kb3ducmV2LnhtbESP0WrCQBRE3wv+w3ILfSl1k6IiqZsgtkWfFKMfcMle&#10;k9Ds3ZBdk/TvXUHwcZiZM8wqG00jeupcbVlBPI1AEBdW11wqOJ9+P5YgnEfW2FgmBf/kIEsnLytM&#10;tB34SH3uSxEg7BJUUHnfJlK6oiKDbmpb4uBdbGfQB9mVUnc4BLhp5GcULaTBmsNChS1tKir+8qtR&#10;kO/52v7M+Xz4PryPZruIzWUTK/X2Oq6/QHga/TP8aO+0gtk8hvuZcAR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kaNnEAAAA3AAAAA8AAAAAAAAAAAAAAAAAmAIAAGRycy9k&#10;b3ducmV2LnhtbFBLBQYAAAAABAAEAPUAAACJAw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452"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J8YA&#10;AADcAAAADwAAAGRycy9kb3ducmV2LnhtbESPT2sCMRTE74LfITyhN81Wa5GtUUSw9rRY20OPr5u3&#10;f3DzEjbR3fbTG0HwOMzMb5jlujeNuFDra8sKnicJCOLc6ppLBd9fu/EChA/IGhvLpOCPPKxXw8ES&#10;U207/qTLMZQiQtinqKAKwaVS+rwig35iHXH0CtsaDFG2pdQtdhFuGjlNkldpsOa4UKGjbUX56Xg2&#10;Cor3w8nsf4r/xe+52882WeZmLlPqadRv3kAE6sMjfG9/aAUv8ynczs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zJ8YAAADcAAAADwAAAAAAAAAAAAAAAACYAgAAZHJz&#10;L2Rvd25yZXYueG1sUEsFBgAAAAAEAAQA9QAAAIsDAAAAAA==&#10;" path="m,l16,72r4,49l18,112,,31,,xe" fillcolor="#1f497d [3215]" strokecolor="#1f497d [3215]" strokeweight="0">
                          <v:fill opacity="13107f"/>
                          <v:stroke opacity="13107f"/>
                          <v:path arrowok="t" o:connecttype="custom" o:connectlocs="0,0;25400,114300;31750,192088;28575,177800;0,49213;0,0" o:connectangles="0,0,0,0,0,0"/>
                        </v:shape>
                        <v:shape id="Freeform 453"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jTsMA&#10;AADcAAAADwAAAGRycy9kb3ducmV2LnhtbESPW2sCMRSE3wv+h3AE32ripVZWo4igFKEP3t4Pm9PN&#10;4uZk2UR3/feNUOjjMDPfMMt15yrxoCaUnjWMhgoEce5NyYWGy3n3PgcRIrLByjNpeFKA9ar3tsTM&#10;+JaP9DjFQiQIhww12BjrTMqQW3IYhr4mTt6PbxzGJJtCmgbbBHeVHCs1kw5LTgsWa9paym+nu9PA&#10;h3Gw3AZlZt/z6fNzf1Wj3VXrQb/bLEBE6uJ/+K/9ZTRMPybwOp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AjTsMAAADcAAAADwAAAAAAAAAAAAAAAACYAgAAZHJzL2Rv&#10;d25yZXYueG1sUEsFBgAAAAAEAAQA9QAAAIgD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454"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4QGMYA&#10;AADcAAAADwAAAGRycy9kb3ducmV2LnhtbESPQWvCQBSE74X+h+UJvdWNEkWim2AtheClrVXQ2yP7&#10;TILZtyG7NfHfdwuCx2FmvmFW2WAacaXO1ZYVTMYRCOLC6ppLBfufj9cFCOeRNTaWScGNHGTp89MK&#10;E217/qbrzpciQNglqKDyvk2kdEVFBt3YtsTBO9vOoA+yK6XusA9w08hpFM2lwZrDQoUtbSoqLrtf&#10;o6D9envvNye3rQ/TxeBvh/zzVB6VehkN6yUIT4N/hO/tXCuIZzH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4QGMYAAADcAAAADwAAAAAAAAAAAAAAAACYAgAAZHJz&#10;L2Rvd25yZXYueG1sUEsFBgAAAAAEAAQA9QAAAIsDAAAAAA==&#10;" path="m,l33,71r-9,l11,36,,xe" fillcolor="#1f497d [3215]" strokecolor="#1f497d [3215]" strokeweight="0">
                          <v:fill opacity="13107f"/>
                          <v:stroke opacity="13107f"/>
                          <v:path arrowok="t" o:connecttype="custom" o:connectlocs="0,0;52388,112713;38100,112713;17463,57150;0,0" o:connectangles="0,0,0,0,0"/>
                        </v:shape>
                        <v:shape id="Freeform 455"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8FcUA&#10;AADcAAAADwAAAGRycy9kb3ducmV2LnhtbESPQWsCMRSE70L/Q3hCb5rVdkVWo0hBKHgoui3o7bl5&#10;bhY3L0uS6vbfN4WCx2FmvmGW69624kY+NI4VTMYZCOLK6YZrBZ/ldjQHESKyxtYxKfihAOvV02CJ&#10;hXZ33tPtEGuRIBwKVGBi7AopQ2XIYhi7jjh5F+ctxiR9LbXHe4LbVk6zbCYtNpwWDHb0Zqi6Hr6t&#10;gq/dh+/09LQ9z1425VG6nab9WannYb9ZgIjUx0f4v/2uFbzmO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zwVxQAAANwAAAAPAAAAAAAAAAAAAAAAAJgCAABkcnMv&#10;ZG93bnJldi54bWxQSwUGAAAAAAQABAD1AAAAigMAAAAA&#10;" path="m,l8,37r,4l15,95,4,49,,xe" fillcolor="#1f497d [3215]" strokecolor="#1f497d [3215]" strokeweight="0">
                          <v:fill opacity="13107f"/>
                          <v:stroke opacity="13107f"/>
                          <v:path arrowok="t" o:connecttype="custom" o:connectlocs="0,0;12700,58738;12700,65088;23813,150813;6350,77788;0,0" o:connectangles="0,0,0,0,0,0"/>
                        </v:shape>
                        <v:shape id="Freeform 456"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US0sUA&#10;AADcAAAADwAAAGRycy9kb3ducmV2LnhtbESPT2sCMRTE74V+h/AK3mpWUSlbo4j/EAtCt7309tg8&#10;N6ubl2UTdfXTG0HocZj5zTDjaWsrcabGl44V9LoJCOLc6ZILBb8/q/cPED4ga6wck4IreZhOXl/G&#10;mGp34W86Z6EQsYR9igpMCHUqpc8NWfRdVxNHb+8aiyHKppC6wUsst5XsJ8lIWiw5LhisaW4oP2Yn&#10;q2Aw355uy11fL7IB68P6y/R2f0apzls7+wQRqA3/4Se90ZEbjuBxJh4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RLSxQAAANwAAAAPAAAAAAAAAAAAAAAAAJgCAABkcnMv&#10;ZG93bnJldi54bWxQSwUGAAAAAAQABAD1AAAAigM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457"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83m8UA&#10;AADcAAAADwAAAGRycy9kb3ducmV2LnhtbESPzW7CMBCE70h9B2uRegMHlPCTYhCiRcqFAz8PsI23&#10;SdR4ncYmSd8eV6rEcTQ73+xsdoOpRUetqywrmE0jEMS51RUXCm7X42QFwnlkjbVlUvBLDnbbl9EG&#10;U217PlN38YUIEHYpKii9b1IpXV6SQTe1DXHwvmxr0AfZFlK32Ae4qeU8ihbSYMWhocSGDiXl35e7&#10;CW/gh1/Fy+KH9l3yfr9+rrNTtVbqdTzs30B4Gvzz+D+daQVxsoS/MYEAcv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zebxQAAANwAAAAPAAAAAAAAAAAAAAAAAJgCAABkcnMv&#10;ZG93bnJldi54bWxQSwUGAAAAAAQABAD1AAAAigM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458"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dvcMA&#10;AADcAAAADwAAAGRycy9kb3ducmV2LnhtbERPz2vCMBS+D/wfwhN2EU0dTl01yhgb7jKGGsZ2eyTP&#10;tti8lCbW7r9fDsKOH9/v9bZ3teioDZVnBdNJBoLYeFtxoUAf38ZLECEiW6w9k4JfCrDdDO7WmFt/&#10;5T11h1iIFMIhRwVljE0uZTAlOQwT3xAn7uRbhzHBtpC2xWsKd7V8yLK5dFhxaiixoZeSzPlwcQro&#10;u3v6+PypzIL1q9ZfdNE7M1Lqftg/r0BE6uO/+OZ+twpmj2ltOp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WdvcMAAADcAAAADwAAAAAAAAAAAAAAAACYAgAAZHJzL2Rv&#10;d25yZXYueG1sUEsFBgAAAAAEAAQA9QAAAIgDAAAAAA==&#10;" path="m,l31,66r-7,l,xe" fillcolor="#1f497d [3215]" strokecolor="#1f497d [3215]" strokeweight="0">
                          <v:fill opacity="13107f"/>
                          <v:stroke opacity="13107f"/>
                          <v:path arrowok="t" o:connecttype="custom" o:connectlocs="0,0;49213,104775;38100,104775;0,0" o:connectangles="0,0,0,0"/>
                        </v:shape>
                        <v:shape id="Freeform 459"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tcQA&#10;AADcAAAADwAAAGRycy9kb3ducmV2LnhtbESPQWsCMRSE7wX/Q3hCb92sRYuuG0VKhV6E1ip4fCTP&#10;zermZdmkuvrrm0Khx2FmvmHKZe8acaEu1J4VjLIcBLH2puZKwe5r/TQFESKywcYzKbhRgOVi8FBi&#10;YfyVP+myjZVIEA4FKrAxtoWUQVtyGDLfEifv6DuHMcmukqbDa4K7Rj7n+Yt0WHNasNjSqyV93n47&#10;BbU94WZ/1wH38m3n9enjIKlS6nHYr+YgIvXxP/zXfjcKxpMZ/J5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KqbXEAAAA3AAAAA8AAAAAAAAAAAAAAAAAmAIAAGRycy9k&#10;b3ducmV2LnhtbFBLBQYAAAAABAAEAPUAAACJAwAAAAA=&#10;" path="m,l7,17r,26l6,40,,25,,xe" fillcolor="#1f497d [3215]" strokecolor="#1f497d [3215]" strokeweight="0">
                          <v:fill opacity="13107f"/>
                          <v:stroke opacity="13107f"/>
                          <v:path arrowok="t" o:connecttype="custom" o:connectlocs="0,0;11113,26988;11113,68263;9525,63500;0,39688;0,0" o:connectangles="0,0,0,0,0,0"/>
                        </v:shape>
                        <v:shape id="Freeform 460"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wDcAA&#10;AADcAAAADwAAAGRycy9kb3ducmV2LnhtbERPTYvCMBC9L/gfwgje1lSRsluNooIg9qQreB2bsSk2&#10;k9BErf9+c1jY4+N9L1a9bcWTutA4VjAZZyCIK6cbrhWcf3afXyBCRNbYOiYFbwqwWg4+Flho9+Ij&#10;PU+xFimEQ4EKTIy+kDJUhiyGsfPEibu5zmJMsKul7vCVwm0rp1mWS4sNpwaDnraGqvvpYRWUG/Pd&#10;1MfDpNzI3F99edmvzxelRsN+PQcRqY//4j/3XiuY5Wl+OpOO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wDcAAAADcAAAADwAAAAAAAAAAAAAAAACYAgAAZHJzL2Rvd25y&#10;ZXYueG1sUEsFBgAAAAAEAAQA9QAAAIUD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hu-HU" w:eastAsia="hu-HU"/>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402330" cy="356870"/>
                    <wp:effectExtent l="0" t="0" r="7620" b="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6D72" w:rsidRDefault="00B40D80">
                                <w:pPr>
                                  <w:pStyle w:val="Nincstrkz"/>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46D72">
                                      <w:rPr>
                                        <w:color w:val="4F81BD" w:themeColor="accent1"/>
                                        <w:sz w:val="26"/>
                                        <w:szCs w:val="26"/>
                                      </w:rPr>
                                      <w:t>GREEK REFUGEE COUNCIL</w:t>
                                    </w:r>
                                  </w:sdtContent>
                                </w:sdt>
                              </w:p>
                              <w:p w:rsidR="00146D72" w:rsidRDefault="00B40D80">
                                <w:pPr>
                                  <w:pStyle w:val="Nincstrkz"/>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146D72">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1" o:spid="_x0000_s1055" type="#_x0000_t202" style="position:absolute;margin-left:0;margin-top:0;width:267.9pt;height:28.1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" filled="f" stroked="f" strokeweight=".5pt">
                    <v:path arrowok="t"/>
                    <v:textbox style="mso-fit-shape-to-text:t" inset="0,0,0,0">
                      <w:txbxContent>
                        <w:p w:rsidR="00146D72" w:rsidRDefault="00B40D80">
                          <w:pPr>
                            <w:pStyle w:val="Nincstrkz"/>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46D72">
                                <w:rPr>
                                  <w:color w:val="4F81BD" w:themeColor="accent1"/>
                                  <w:sz w:val="26"/>
                                  <w:szCs w:val="26"/>
                                </w:rPr>
                                <w:t>GREEK REFUGEE COUNCIL</w:t>
                              </w:r>
                            </w:sdtContent>
                          </w:sdt>
                        </w:p>
                        <w:p w:rsidR="00146D72" w:rsidRDefault="00B40D80">
                          <w:pPr>
                            <w:pStyle w:val="Nincstrkz"/>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146D72">
                                <w:rPr>
                                  <w:caps/>
                                  <w:color w:val="595959" w:themeColor="text1" w:themeTint="A6"/>
                                  <w:sz w:val="20"/>
                                  <w:szCs w:val="20"/>
                                </w:rPr>
                                <w:t xml:space="preserve">     </w:t>
                              </w:r>
                            </w:sdtContent>
                          </w:sdt>
                        </w:p>
                      </w:txbxContent>
                    </v:textbox>
                    <w10:wrap anchorx="page" anchory="page"/>
                  </v:shape>
                </w:pict>
              </mc:Fallback>
            </mc:AlternateContent>
          </w:r>
          <w:r>
            <w:rPr>
              <w:noProof/>
              <w:lang w:val="hu-HU" w:eastAsia="hu-HU"/>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402330" cy="1357630"/>
                    <wp:effectExtent l="0" t="0" r="7620" b="762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1357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6D72" w:rsidRDefault="00B40D80">
                                <w:pPr>
                                  <w:pStyle w:val="Nincstrkz"/>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46D72">
                                      <w:rPr>
                                        <w:rFonts w:asciiTheme="majorHAnsi" w:eastAsiaTheme="majorEastAsia" w:hAnsiTheme="majorHAnsi" w:cstheme="majorBidi"/>
                                        <w:color w:val="262626" w:themeColor="text1" w:themeTint="D9"/>
                                        <w:sz w:val="56"/>
                                        <w:szCs w:val="56"/>
                                        <w:lang w:val="hu-HU"/>
                                      </w:rPr>
                                      <w:t>GYŰLÖLET-BŰNCSELEKMÉNYEK</w:t>
                                    </w:r>
                                  </w:sdtContent>
                                </w:sdt>
                              </w:p>
                              <w:p w:rsidR="00146D72" w:rsidRDefault="00B40D8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146D72">
                                      <w:rPr>
                                        <w:color w:val="404040" w:themeColor="text1" w:themeTint="BF"/>
                                        <w:sz w:val="36"/>
                                        <w:szCs w:val="36"/>
                                        <w:lang w:val="en-GB"/>
                                      </w:rPr>
                                      <w:t>KÉPZÉSI MODUL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462" o:spid="_x0000_s1056" type="#_x0000_t202" style="position:absolute;margin-left:0;margin-top:0;width:267.9pt;height:106.9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" filled="f" stroked="f" strokeweight=".5pt">
                    <v:path arrowok="t"/>
                    <v:textbox style="mso-fit-shape-to-text:t" inset="0,0,0,0">
                      <w:txbxContent>
                        <w:p w:rsidR="00146D72" w:rsidRDefault="00B40D80">
                          <w:pPr>
                            <w:pStyle w:val="Nincstrkz"/>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46D72">
                                <w:rPr>
                                  <w:rFonts w:asciiTheme="majorHAnsi" w:eastAsiaTheme="majorEastAsia" w:hAnsiTheme="majorHAnsi" w:cstheme="majorBidi"/>
                                  <w:color w:val="262626" w:themeColor="text1" w:themeTint="D9"/>
                                  <w:sz w:val="56"/>
                                  <w:szCs w:val="56"/>
                                  <w:lang w:val="hu-HU"/>
                                </w:rPr>
                                <w:t>GYŰLÖLET-BŰNCSELEKMÉNYEK</w:t>
                              </w:r>
                            </w:sdtContent>
                          </w:sdt>
                        </w:p>
                        <w:p w:rsidR="00146D72" w:rsidRDefault="00B40D8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146D72">
                                <w:rPr>
                                  <w:color w:val="404040" w:themeColor="text1" w:themeTint="BF"/>
                                  <w:sz w:val="36"/>
                                  <w:szCs w:val="36"/>
                                  <w:lang w:val="en-GB"/>
                                </w:rPr>
                                <w:t>KÉPZÉSI MODUL</w:t>
                              </w:r>
                            </w:sdtContent>
                          </w:sdt>
                        </w:p>
                      </w:txbxContent>
                    </v:textbox>
                    <w10:wrap anchorx="page" anchory="page"/>
                  </v:shape>
                </w:pict>
              </mc:Fallback>
            </mc:AlternateContent>
          </w:r>
        </w:p>
        <w:p w:rsidR="00903A78" w:rsidRDefault="00903A78">
          <w:pPr>
            <w:rPr>
              <w:color w:val="FFFFFF" w:themeColor="background1"/>
              <w:lang w:val="en-GB"/>
            </w:rPr>
          </w:pPr>
          <w:r>
            <w:rPr>
              <w:color w:val="FFFFFF" w:themeColor="background1"/>
              <w:lang w:val="en-GB"/>
            </w:rPr>
            <w:br w:type="page"/>
          </w:r>
        </w:p>
      </w:sdtContent>
    </w:sdt>
    <w:sdt>
      <w:sdtPr>
        <w:rPr>
          <w:rFonts w:asciiTheme="minorHAnsi" w:eastAsiaTheme="minorEastAsia" w:hAnsiTheme="minorHAnsi" w:cstheme="minorBidi"/>
          <w:color w:val="auto"/>
          <w:sz w:val="22"/>
          <w:szCs w:val="22"/>
          <w:lang w:val="el-GR" w:eastAsia="ja-JP"/>
        </w:rPr>
        <w:id w:val="-475071560"/>
        <w:docPartObj>
          <w:docPartGallery w:val="Table of Contents"/>
          <w:docPartUnique/>
        </w:docPartObj>
      </w:sdtPr>
      <w:sdtEndPr>
        <w:rPr>
          <w:b/>
          <w:bCs/>
          <w:noProof/>
          <w:lang w:val="hu-HU" w:eastAsia="hu-HU"/>
        </w:rPr>
      </w:sdtEndPr>
      <w:sdtContent>
        <w:p w:rsidR="00F95992" w:rsidRDefault="00A70C6D">
          <w:pPr>
            <w:pStyle w:val="Tartalomjegyzkcmsora"/>
          </w:pPr>
          <w:proofErr w:type="spellStart"/>
          <w:r>
            <w:t>Tartalom</w:t>
          </w:r>
          <w:bookmarkStart w:id="0" w:name="_GoBack"/>
          <w:bookmarkEnd w:id="0"/>
          <w:proofErr w:type="spellEnd"/>
        </w:p>
        <w:p w:rsidR="004F01DC" w:rsidRDefault="00EA757C">
          <w:pPr>
            <w:pStyle w:val="TJ1"/>
            <w:tabs>
              <w:tab w:val="right" w:leader="dot" w:pos="8296"/>
            </w:tabs>
            <w:rPr>
              <w:noProof/>
            </w:rPr>
          </w:pPr>
          <w:r>
            <w:fldChar w:fldCharType="begin"/>
          </w:r>
          <w:r w:rsidR="00F95992">
            <w:instrText xml:space="preserve"> TOC \o "1-3" \h \z \u </w:instrText>
          </w:r>
          <w:r>
            <w:fldChar w:fldCharType="separate"/>
          </w:r>
          <w:hyperlink w:anchor="_Toc515458770" w:history="1">
            <w:r w:rsidR="004F01DC" w:rsidRPr="00215EDA">
              <w:rPr>
                <w:rStyle w:val="Hiperhivatkozs"/>
                <w:noProof/>
              </w:rPr>
              <w:t>1. A gyűlölet-bűncselekmények természete</w:t>
            </w:r>
            <w:r w:rsidR="004F01DC">
              <w:rPr>
                <w:noProof/>
                <w:webHidden/>
              </w:rPr>
              <w:tab/>
            </w:r>
            <w:r w:rsidR="004F01DC">
              <w:rPr>
                <w:noProof/>
                <w:webHidden/>
              </w:rPr>
              <w:fldChar w:fldCharType="begin"/>
            </w:r>
            <w:r w:rsidR="004F01DC">
              <w:rPr>
                <w:noProof/>
                <w:webHidden/>
              </w:rPr>
              <w:instrText xml:space="preserve"> PAGEREF _Toc515458770 \h </w:instrText>
            </w:r>
            <w:r w:rsidR="004F01DC">
              <w:rPr>
                <w:noProof/>
                <w:webHidden/>
              </w:rPr>
            </w:r>
            <w:r w:rsidR="004F01DC">
              <w:rPr>
                <w:noProof/>
                <w:webHidden/>
              </w:rPr>
              <w:fldChar w:fldCharType="separate"/>
            </w:r>
            <w:r w:rsidR="0044304E">
              <w:rPr>
                <w:noProof/>
                <w:webHidden/>
              </w:rPr>
              <w:t>2</w:t>
            </w:r>
            <w:r w:rsidR="004F01DC">
              <w:rPr>
                <w:noProof/>
                <w:webHidden/>
              </w:rPr>
              <w:fldChar w:fldCharType="end"/>
            </w:r>
          </w:hyperlink>
        </w:p>
        <w:p w:rsidR="004F01DC" w:rsidRDefault="00B40D80">
          <w:pPr>
            <w:pStyle w:val="TJ2"/>
            <w:tabs>
              <w:tab w:val="right" w:leader="dot" w:pos="8296"/>
            </w:tabs>
            <w:rPr>
              <w:noProof/>
            </w:rPr>
          </w:pPr>
          <w:hyperlink w:anchor="_Toc515458771" w:history="1">
            <w:r w:rsidR="004F01DC" w:rsidRPr="00215EDA">
              <w:rPr>
                <w:rStyle w:val="Hiperhivatkozs"/>
                <w:noProof/>
              </w:rPr>
              <w:t>1.1 Az előítéletről</w:t>
            </w:r>
            <w:r w:rsidR="004F01DC">
              <w:rPr>
                <w:noProof/>
                <w:webHidden/>
              </w:rPr>
              <w:tab/>
            </w:r>
            <w:r w:rsidR="004F01DC">
              <w:rPr>
                <w:noProof/>
                <w:webHidden/>
              </w:rPr>
              <w:fldChar w:fldCharType="begin"/>
            </w:r>
            <w:r w:rsidR="004F01DC">
              <w:rPr>
                <w:noProof/>
                <w:webHidden/>
              </w:rPr>
              <w:instrText xml:space="preserve"> PAGEREF _Toc515458771 \h </w:instrText>
            </w:r>
            <w:r w:rsidR="004F01DC">
              <w:rPr>
                <w:noProof/>
                <w:webHidden/>
              </w:rPr>
            </w:r>
            <w:r w:rsidR="004F01DC">
              <w:rPr>
                <w:noProof/>
                <w:webHidden/>
              </w:rPr>
              <w:fldChar w:fldCharType="separate"/>
            </w:r>
            <w:r w:rsidR="0044304E">
              <w:rPr>
                <w:noProof/>
                <w:webHidden/>
              </w:rPr>
              <w:t>2</w:t>
            </w:r>
            <w:r w:rsidR="004F01DC">
              <w:rPr>
                <w:noProof/>
                <w:webHidden/>
              </w:rPr>
              <w:fldChar w:fldCharType="end"/>
            </w:r>
          </w:hyperlink>
        </w:p>
        <w:p w:rsidR="004F01DC" w:rsidRDefault="00B40D80">
          <w:pPr>
            <w:pStyle w:val="TJ2"/>
            <w:tabs>
              <w:tab w:val="right" w:leader="dot" w:pos="8296"/>
            </w:tabs>
            <w:rPr>
              <w:noProof/>
            </w:rPr>
          </w:pPr>
          <w:hyperlink w:anchor="_Toc515458772" w:history="1">
            <w:r w:rsidR="004F01DC" w:rsidRPr="00215EDA">
              <w:rPr>
                <w:rStyle w:val="Hiperhivatkozs"/>
                <w:noProof/>
              </w:rPr>
              <w:t>1.2 Védett tulajdonságok</w:t>
            </w:r>
            <w:r w:rsidR="004F01DC">
              <w:rPr>
                <w:noProof/>
                <w:webHidden/>
              </w:rPr>
              <w:tab/>
            </w:r>
            <w:r w:rsidR="004F01DC">
              <w:rPr>
                <w:noProof/>
                <w:webHidden/>
              </w:rPr>
              <w:fldChar w:fldCharType="begin"/>
            </w:r>
            <w:r w:rsidR="004F01DC">
              <w:rPr>
                <w:noProof/>
                <w:webHidden/>
              </w:rPr>
              <w:instrText xml:space="preserve"> PAGEREF _Toc515458772 \h </w:instrText>
            </w:r>
            <w:r w:rsidR="004F01DC">
              <w:rPr>
                <w:noProof/>
                <w:webHidden/>
              </w:rPr>
            </w:r>
            <w:r w:rsidR="004F01DC">
              <w:rPr>
                <w:noProof/>
                <w:webHidden/>
              </w:rPr>
              <w:fldChar w:fldCharType="separate"/>
            </w:r>
            <w:r w:rsidR="0044304E">
              <w:rPr>
                <w:noProof/>
                <w:webHidden/>
              </w:rPr>
              <w:t>6</w:t>
            </w:r>
            <w:r w:rsidR="004F01DC">
              <w:rPr>
                <w:noProof/>
                <w:webHidden/>
              </w:rPr>
              <w:fldChar w:fldCharType="end"/>
            </w:r>
          </w:hyperlink>
        </w:p>
        <w:p w:rsidR="004F01DC" w:rsidRDefault="00B40D80">
          <w:pPr>
            <w:pStyle w:val="TJ2"/>
            <w:tabs>
              <w:tab w:val="right" w:leader="dot" w:pos="8296"/>
            </w:tabs>
            <w:rPr>
              <w:noProof/>
            </w:rPr>
          </w:pPr>
          <w:hyperlink w:anchor="_Toc515458773" w:history="1">
            <w:r w:rsidR="004F01DC" w:rsidRPr="00215EDA">
              <w:rPr>
                <w:rStyle w:val="Hiperhivatkozs"/>
                <w:noProof/>
              </w:rPr>
              <w:t>1.3 A védett tulajdonságokhoz kapcsolódó előítéletből fakadó bántalmazás</w:t>
            </w:r>
            <w:r w:rsidR="004F01DC">
              <w:rPr>
                <w:noProof/>
                <w:webHidden/>
              </w:rPr>
              <w:tab/>
            </w:r>
            <w:r w:rsidR="004F01DC">
              <w:rPr>
                <w:noProof/>
                <w:webHidden/>
              </w:rPr>
              <w:fldChar w:fldCharType="begin"/>
            </w:r>
            <w:r w:rsidR="004F01DC">
              <w:rPr>
                <w:noProof/>
                <w:webHidden/>
              </w:rPr>
              <w:instrText xml:space="preserve"> PAGEREF _Toc515458773 \h </w:instrText>
            </w:r>
            <w:r w:rsidR="004F01DC">
              <w:rPr>
                <w:noProof/>
                <w:webHidden/>
              </w:rPr>
            </w:r>
            <w:r w:rsidR="004F01DC">
              <w:rPr>
                <w:noProof/>
                <w:webHidden/>
              </w:rPr>
              <w:fldChar w:fldCharType="separate"/>
            </w:r>
            <w:r w:rsidR="0044304E">
              <w:rPr>
                <w:noProof/>
                <w:webHidden/>
              </w:rPr>
              <w:t>7</w:t>
            </w:r>
            <w:r w:rsidR="004F01DC">
              <w:rPr>
                <w:noProof/>
                <w:webHidden/>
              </w:rPr>
              <w:fldChar w:fldCharType="end"/>
            </w:r>
          </w:hyperlink>
        </w:p>
        <w:p w:rsidR="004F01DC" w:rsidRDefault="00B40D80">
          <w:pPr>
            <w:pStyle w:val="TJ1"/>
            <w:tabs>
              <w:tab w:val="right" w:leader="dot" w:pos="8296"/>
            </w:tabs>
            <w:rPr>
              <w:noProof/>
            </w:rPr>
          </w:pPr>
          <w:hyperlink w:anchor="_Toc515458774" w:history="1">
            <w:r w:rsidR="004F01DC" w:rsidRPr="00215EDA">
              <w:rPr>
                <w:rStyle w:val="Hiperhivatkozs"/>
                <w:noProof/>
              </w:rPr>
              <w:t>2. A gyűlölet-bűncselekmények hatásai</w:t>
            </w:r>
            <w:r w:rsidR="004F01DC">
              <w:rPr>
                <w:noProof/>
                <w:webHidden/>
              </w:rPr>
              <w:tab/>
            </w:r>
            <w:r w:rsidR="004F01DC">
              <w:rPr>
                <w:noProof/>
                <w:webHidden/>
              </w:rPr>
              <w:fldChar w:fldCharType="begin"/>
            </w:r>
            <w:r w:rsidR="004F01DC">
              <w:rPr>
                <w:noProof/>
                <w:webHidden/>
              </w:rPr>
              <w:instrText xml:space="preserve"> PAGEREF _Toc515458774 \h </w:instrText>
            </w:r>
            <w:r w:rsidR="004F01DC">
              <w:rPr>
                <w:noProof/>
                <w:webHidden/>
              </w:rPr>
            </w:r>
            <w:r w:rsidR="004F01DC">
              <w:rPr>
                <w:noProof/>
                <w:webHidden/>
              </w:rPr>
              <w:fldChar w:fldCharType="separate"/>
            </w:r>
            <w:r w:rsidR="0044304E">
              <w:rPr>
                <w:noProof/>
                <w:webHidden/>
              </w:rPr>
              <w:t>12</w:t>
            </w:r>
            <w:r w:rsidR="004F01DC">
              <w:rPr>
                <w:noProof/>
                <w:webHidden/>
              </w:rPr>
              <w:fldChar w:fldCharType="end"/>
            </w:r>
          </w:hyperlink>
        </w:p>
        <w:p w:rsidR="004F01DC" w:rsidRDefault="00B40D80">
          <w:pPr>
            <w:pStyle w:val="TJ2"/>
            <w:tabs>
              <w:tab w:val="right" w:leader="dot" w:pos="8296"/>
            </w:tabs>
            <w:rPr>
              <w:noProof/>
            </w:rPr>
          </w:pPr>
          <w:hyperlink w:anchor="_Toc515458775" w:history="1">
            <w:r w:rsidR="004F01DC" w:rsidRPr="00215EDA">
              <w:rPr>
                <w:rStyle w:val="Hiperhivatkozs"/>
                <w:noProof/>
                <w:lang w:eastAsia="en-US"/>
              </w:rPr>
              <w:t>2.1 Az áldozat(ok)ra gyakorolt hatások</w:t>
            </w:r>
            <w:r w:rsidR="004F01DC">
              <w:rPr>
                <w:noProof/>
                <w:webHidden/>
              </w:rPr>
              <w:tab/>
            </w:r>
            <w:r w:rsidR="004F01DC">
              <w:rPr>
                <w:noProof/>
                <w:webHidden/>
              </w:rPr>
              <w:fldChar w:fldCharType="begin"/>
            </w:r>
            <w:r w:rsidR="004F01DC">
              <w:rPr>
                <w:noProof/>
                <w:webHidden/>
              </w:rPr>
              <w:instrText xml:space="preserve"> PAGEREF _Toc515458775 \h </w:instrText>
            </w:r>
            <w:r w:rsidR="004F01DC">
              <w:rPr>
                <w:noProof/>
                <w:webHidden/>
              </w:rPr>
            </w:r>
            <w:r w:rsidR="004F01DC">
              <w:rPr>
                <w:noProof/>
                <w:webHidden/>
              </w:rPr>
              <w:fldChar w:fldCharType="separate"/>
            </w:r>
            <w:r w:rsidR="0044304E">
              <w:rPr>
                <w:noProof/>
                <w:webHidden/>
              </w:rPr>
              <w:t>13</w:t>
            </w:r>
            <w:r w:rsidR="004F01DC">
              <w:rPr>
                <w:noProof/>
                <w:webHidden/>
              </w:rPr>
              <w:fldChar w:fldCharType="end"/>
            </w:r>
          </w:hyperlink>
        </w:p>
        <w:p w:rsidR="004F01DC" w:rsidRDefault="00B40D80">
          <w:pPr>
            <w:pStyle w:val="TJ2"/>
            <w:tabs>
              <w:tab w:val="right" w:leader="dot" w:pos="8296"/>
            </w:tabs>
            <w:rPr>
              <w:noProof/>
            </w:rPr>
          </w:pPr>
          <w:hyperlink w:anchor="_Toc515458776" w:history="1">
            <w:r w:rsidR="004F01DC" w:rsidRPr="00215EDA">
              <w:rPr>
                <w:rStyle w:val="Hiperhivatkozs"/>
                <w:noProof/>
                <w:lang w:eastAsia="en-US"/>
              </w:rPr>
              <w:t>2.2 A társadalomra gyakorolt hatások</w:t>
            </w:r>
            <w:r w:rsidR="004F01DC">
              <w:rPr>
                <w:noProof/>
                <w:webHidden/>
              </w:rPr>
              <w:tab/>
            </w:r>
            <w:r w:rsidR="004F01DC">
              <w:rPr>
                <w:noProof/>
                <w:webHidden/>
              </w:rPr>
              <w:fldChar w:fldCharType="begin"/>
            </w:r>
            <w:r w:rsidR="004F01DC">
              <w:rPr>
                <w:noProof/>
                <w:webHidden/>
              </w:rPr>
              <w:instrText xml:space="preserve"> PAGEREF _Toc515458776 \h </w:instrText>
            </w:r>
            <w:r w:rsidR="004F01DC">
              <w:rPr>
                <w:noProof/>
                <w:webHidden/>
              </w:rPr>
            </w:r>
            <w:r w:rsidR="004F01DC">
              <w:rPr>
                <w:noProof/>
                <w:webHidden/>
              </w:rPr>
              <w:fldChar w:fldCharType="separate"/>
            </w:r>
            <w:r w:rsidR="0044304E">
              <w:rPr>
                <w:noProof/>
                <w:webHidden/>
              </w:rPr>
              <w:t>15</w:t>
            </w:r>
            <w:r w:rsidR="004F01DC">
              <w:rPr>
                <w:noProof/>
                <w:webHidden/>
              </w:rPr>
              <w:fldChar w:fldCharType="end"/>
            </w:r>
          </w:hyperlink>
        </w:p>
        <w:p w:rsidR="004F01DC" w:rsidRDefault="00B40D80">
          <w:pPr>
            <w:pStyle w:val="TJ1"/>
            <w:tabs>
              <w:tab w:val="right" w:leader="dot" w:pos="8296"/>
            </w:tabs>
            <w:rPr>
              <w:noProof/>
            </w:rPr>
          </w:pPr>
          <w:hyperlink w:anchor="_Toc515458777" w:history="1">
            <w:r w:rsidR="004F01DC" w:rsidRPr="00215EDA">
              <w:rPr>
                <w:rStyle w:val="Hiperhivatkozs"/>
                <w:noProof/>
                <w:lang w:eastAsia="en-US"/>
              </w:rPr>
              <w:t>3. A gyűlölet-bűncselekmények kezelése</w:t>
            </w:r>
            <w:r w:rsidR="004F01DC">
              <w:rPr>
                <w:noProof/>
                <w:webHidden/>
              </w:rPr>
              <w:tab/>
            </w:r>
            <w:r w:rsidR="004F01DC">
              <w:rPr>
                <w:noProof/>
                <w:webHidden/>
              </w:rPr>
              <w:fldChar w:fldCharType="begin"/>
            </w:r>
            <w:r w:rsidR="004F01DC">
              <w:rPr>
                <w:noProof/>
                <w:webHidden/>
              </w:rPr>
              <w:instrText xml:space="preserve"> PAGEREF _Toc515458777 \h </w:instrText>
            </w:r>
            <w:r w:rsidR="004F01DC">
              <w:rPr>
                <w:noProof/>
                <w:webHidden/>
              </w:rPr>
            </w:r>
            <w:r w:rsidR="004F01DC">
              <w:rPr>
                <w:noProof/>
                <w:webHidden/>
              </w:rPr>
              <w:fldChar w:fldCharType="separate"/>
            </w:r>
            <w:r w:rsidR="0044304E">
              <w:rPr>
                <w:noProof/>
                <w:webHidden/>
              </w:rPr>
              <w:t>17</w:t>
            </w:r>
            <w:r w:rsidR="004F01DC">
              <w:rPr>
                <w:noProof/>
                <w:webHidden/>
              </w:rPr>
              <w:fldChar w:fldCharType="end"/>
            </w:r>
          </w:hyperlink>
        </w:p>
        <w:p w:rsidR="004F01DC" w:rsidRDefault="00B40D80">
          <w:pPr>
            <w:pStyle w:val="TJ2"/>
            <w:tabs>
              <w:tab w:val="right" w:leader="dot" w:pos="8296"/>
            </w:tabs>
            <w:rPr>
              <w:noProof/>
            </w:rPr>
          </w:pPr>
          <w:hyperlink w:anchor="_Toc515458778" w:history="1">
            <w:r w:rsidR="004F01DC" w:rsidRPr="00215EDA">
              <w:rPr>
                <w:rStyle w:val="Hiperhivatkozs"/>
                <w:noProof/>
                <w:lang w:eastAsia="en-US"/>
              </w:rPr>
              <w:t>3.1 Kötelezettségek</w:t>
            </w:r>
            <w:r w:rsidR="004F01DC">
              <w:rPr>
                <w:noProof/>
                <w:webHidden/>
              </w:rPr>
              <w:tab/>
            </w:r>
            <w:r w:rsidR="004F01DC">
              <w:rPr>
                <w:noProof/>
                <w:webHidden/>
              </w:rPr>
              <w:fldChar w:fldCharType="begin"/>
            </w:r>
            <w:r w:rsidR="004F01DC">
              <w:rPr>
                <w:noProof/>
                <w:webHidden/>
              </w:rPr>
              <w:instrText xml:space="preserve"> PAGEREF _Toc515458778 \h </w:instrText>
            </w:r>
            <w:r w:rsidR="004F01DC">
              <w:rPr>
                <w:noProof/>
                <w:webHidden/>
              </w:rPr>
            </w:r>
            <w:r w:rsidR="004F01DC">
              <w:rPr>
                <w:noProof/>
                <w:webHidden/>
              </w:rPr>
              <w:fldChar w:fldCharType="separate"/>
            </w:r>
            <w:r w:rsidR="0044304E">
              <w:rPr>
                <w:noProof/>
                <w:webHidden/>
              </w:rPr>
              <w:t>21</w:t>
            </w:r>
            <w:r w:rsidR="004F01DC">
              <w:rPr>
                <w:noProof/>
                <w:webHidden/>
              </w:rPr>
              <w:fldChar w:fldCharType="end"/>
            </w:r>
          </w:hyperlink>
        </w:p>
        <w:p w:rsidR="004F01DC" w:rsidRDefault="00B40D80">
          <w:pPr>
            <w:pStyle w:val="TJ1"/>
            <w:tabs>
              <w:tab w:val="right" w:leader="dot" w:pos="8296"/>
            </w:tabs>
            <w:rPr>
              <w:noProof/>
            </w:rPr>
          </w:pPr>
          <w:hyperlink w:anchor="_Toc515458779" w:history="1">
            <w:r w:rsidR="004F01DC" w:rsidRPr="00215EDA">
              <w:rPr>
                <w:rStyle w:val="Hiperhivatkozs"/>
                <w:noProof/>
                <w:lang w:eastAsia="en-US"/>
              </w:rPr>
              <w:t>4. Nemzetközi jogforrások</w:t>
            </w:r>
            <w:r w:rsidR="004F01DC">
              <w:rPr>
                <w:noProof/>
                <w:webHidden/>
              </w:rPr>
              <w:tab/>
            </w:r>
            <w:r w:rsidR="004F01DC">
              <w:rPr>
                <w:noProof/>
                <w:webHidden/>
              </w:rPr>
              <w:fldChar w:fldCharType="begin"/>
            </w:r>
            <w:r w:rsidR="004F01DC">
              <w:rPr>
                <w:noProof/>
                <w:webHidden/>
              </w:rPr>
              <w:instrText xml:space="preserve"> PAGEREF _Toc515458779 \h </w:instrText>
            </w:r>
            <w:r w:rsidR="004F01DC">
              <w:rPr>
                <w:noProof/>
                <w:webHidden/>
              </w:rPr>
            </w:r>
            <w:r w:rsidR="004F01DC">
              <w:rPr>
                <w:noProof/>
                <w:webHidden/>
              </w:rPr>
              <w:fldChar w:fldCharType="separate"/>
            </w:r>
            <w:r w:rsidR="0044304E">
              <w:rPr>
                <w:noProof/>
                <w:webHidden/>
              </w:rPr>
              <w:t>22</w:t>
            </w:r>
            <w:r w:rsidR="004F01DC">
              <w:rPr>
                <w:noProof/>
                <w:webHidden/>
              </w:rPr>
              <w:fldChar w:fldCharType="end"/>
            </w:r>
          </w:hyperlink>
        </w:p>
        <w:p w:rsidR="004F01DC" w:rsidRDefault="00B40D80">
          <w:pPr>
            <w:pStyle w:val="TJ2"/>
            <w:tabs>
              <w:tab w:val="right" w:leader="dot" w:pos="8296"/>
            </w:tabs>
            <w:rPr>
              <w:noProof/>
            </w:rPr>
          </w:pPr>
          <w:hyperlink w:anchor="_Toc515458780" w:history="1">
            <w:r w:rsidR="004F01DC" w:rsidRPr="00215EDA">
              <w:rPr>
                <w:rStyle w:val="Hiperhivatkozs"/>
                <w:noProof/>
              </w:rPr>
              <w:t>4.1. Egyetemes jogforrások</w:t>
            </w:r>
            <w:r w:rsidR="004F01DC">
              <w:rPr>
                <w:noProof/>
                <w:webHidden/>
              </w:rPr>
              <w:tab/>
            </w:r>
            <w:r w:rsidR="004F01DC">
              <w:rPr>
                <w:noProof/>
                <w:webHidden/>
              </w:rPr>
              <w:fldChar w:fldCharType="begin"/>
            </w:r>
            <w:r w:rsidR="004F01DC">
              <w:rPr>
                <w:noProof/>
                <w:webHidden/>
              </w:rPr>
              <w:instrText xml:space="preserve"> PAGEREF _Toc515458780 \h </w:instrText>
            </w:r>
            <w:r w:rsidR="004F01DC">
              <w:rPr>
                <w:noProof/>
                <w:webHidden/>
              </w:rPr>
            </w:r>
            <w:r w:rsidR="004F01DC">
              <w:rPr>
                <w:noProof/>
                <w:webHidden/>
              </w:rPr>
              <w:fldChar w:fldCharType="separate"/>
            </w:r>
            <w:r w:rsidR="0044304E">
              <w:rPr>
                <w:noProof/>
                <w:webHidden/>
              </w:rPr>
              <w:t>22</w:t>
            </w:r>
            <w:r w:rsidR="004F01DC">
              <w:rPr>
                <w:noProof/>
                <w:webHidden/>
              </w:rPr>
              <w:fldChar w:fldCharType="end"/>
            </w:r>
          </w:hyperlink>
        </w:p>
        <w:p w:rsidR="004F01DC" w:rsidRDefault="00B40D80">
          <w:pPr>
            <w:pStyle w:val="TJ3"/>
            <w:tabs>
              <w:tab w:val="right" w:leader="dot" w:pos="8296"/>
            </w:tabs>
            <w:rPr>
              <w:noProof/>
            </w:rPr>
          </w:pPr>
          <w:hyperlink w:anchor="_Toc515458781" w:history="1">
            <w:r w:rsidR="004F01DC" w:rsidRPr="00215EDA">
              <w:rPr>
                <w:rStyle w:val="Hiperhivatkozs"/>
                <w:noProof/>
              </w:rPr>
              <w:t>4.1.1 Az Emberi Jogok Egyetemes Nyilatkozata (link)</w:t>
            </w:r>
            <w:r w:rsidR="004F01DC">
              <w:rPr>
                <w:noProof/>
                <w:webHidden/>
              </w:rPr>
              <w:tab/>
            </w:r>
            <w:r w:rsidR="004F01DC">
              <w:rPr>
                <w:noProof/>
                <w:webHidden/>
              </w:rPr>
              <w:fldChar w:fldCharType="begin"/>
            </w:r>
            <w:r w:rsidR="004F01DC">
              <w:rPr>
                <w:noProof/>
                <w:webHidden/>
              </w:rPr>
              <w:instrText xml:space="preserve"> PAGEREF _Toc515458781 \h </w:instrText>
            </w:r>
            <w:r w:rsidR="004F01DC">
              <w:rPr>
                <w:noProof/>
                <w:webHidden/>
              </w:rPr>
            </w:r>
            <w:r w:rsidR="004F01DC">
              <w:rPr>
                <w:noProof/>
                <w:webHidden/>
              </w:rPr>
              <w:fldChar w:fldCharType="separate"/>
            </w:r>
            <w:r w:rsidR="0044304E">
              <w:rPr>
                <w:noProof/>
                <w:webHidden/>
              </w:rPr>
              <w:t>22</w:t>
            </w:r>
            <w:r w:rsidR="004F01DC">
              <w:rPr>
                <w:noProof/>
                <w:webHidden/>
              </w:rPr>
              <w:fldChar w:fldCharType="end"/>
            </w:r>
          </w:hyperlink>
        </w:p>
        <w:p w:rsidR="004F01DC" w:rsidRDefault="00B40D80">
          <w:pPr>
            <w:pStyle w:val="TJ3"/>
            <w:tabs>
              <w:tab w:val="right" w:leader="dot" w:pos="8296"/>
            </w:tabs>
            <w:rPr>
              <w:noProof/>
            </w:rPr>
          </w:pPr>
          <w:hyperlink w:anchor="_Toc515458782" w:history="1">
            <w:r w:rsidR="004F01DC" w:rsidRPr="00215EDA">
              <w:rPr>
                <w:rStyle w:val="Hiperhivatkozs"/>
                <w:noProof/>
              </w:rPr>
              <w:t>4.1.2. Polgári és Politikai Jogok Nemzetközi Egyezségokmánya (link)</w:t>
            </w:r>
            <w:r w:rsidR="004F01DC">
              <w:rPr>
                <w:noProof/>
                <w:webHidden/>
              </w:rPr>
              <w:tab/>
            </w:r>
            <w:r w:rsidR="004F01DC">
              <w:rPr>
                <w:noProof/>
                <w:webHidden/>
              </w:rPr>
              <w:fldChar w:fldCharType="begin"/>
            </w:r>
            <w:r w:rsidR="004F01DC">
              <w:rPr>
                <w:noProof/>
                <w:webHidden/>
              </w:rPr>
              <w:instrText xml:space="preserve"> PAGEREF _Toc515458782 \h </w:instrText>
            </w:r>
            <w:r w:rsidR="004F01DC">
              <w:rPr>
                <w:noProof/>
                <w:webHidden/>
              </w:rPr>
            </w:r>
            <w:r w:rsidR="004F01DC">
              <w:rPr>
                <w:noProof/>
                <w:webHidden/>
              </w:rPr>
              <w:fldChar w:fldCharType="separate"/>
            </w:r>
            <w:r w:rsidR="0044304E">
              <w:rPr>
                <w:noProof/>
                <w:webHidden/>
              </w:rPr>
              <w:t>22</w:t>
            </w:r>
            <w:r w:rsidR="004F01DC">
              <w:rPr>
                <w:noProof/>
                <w:webHidden/>
              </w:rPr>
              <w:fldChar w:fldCharType="end"/>
            </w:r>
          </w:hyperlink>
        </w:p>
        <w:p w:rsidR="004F01DC" w:rsidRDefault="00B40D80">
          <w:pPr>
            <w:pStyle w:val="TJ2"/>
            <w:tabs>
              <w:tab w:val="right" w:leader="dot" w:pos="8296"/>
            </w:tabs>
            <w:rPr>
              <w:noProof/>
            </w:rPr>
          </w:pPr>
          <w:hyperlink w:anchor="_Toc515458783" w:history="1">
            <w:r w:rsidR="004F01DC" w:rsidRPr="00215EDA">
              <w:rPr>
                <w:rStyle w:val="Hiperhivatkozs"/>
                <w:noProof/>
              </w:rPr>
              <w:t>4.1.3. Nemzetközi Egyezmény a Faji Megkülönböztetés Valamennyi Formájának Kiküszöböléséről(link)</w:t>
            </w:r>
            <w:r w:rsidR="004F01DC">
              <w:rPr>
                <w:noProof/>
                <w:webHidden/>
              </w:rPr>
              <w:tab/>
            </w:r>
            <w:r w:rsidR="004F01DC">
              <w:rPr>
                <w:noProof/>
                <w:webHidden/>
              </w:rPr>
              <w:fldChar w:fldCharType="begin"/>
            </w:r>
            <w:r w:rsidR="004F01DC">
              <w:rPr>
                <w:noProof/>
                <w:webHidden/>
              </w:rPr>
              <w:instrText xml:space="preserve"> PAGEREF _Toc515458783 \h </w:instrText>
            </w:r>
            <w:r w:rsidR="004F01DC">
              <w:rPr>
                <w:noProof/>
                <w:webHidden/>
              </w:rPr>
            </w:r>
            <w:r w:rsidR="004F01DC">
              <w:rPr>
                <w:noProof/>
                <w:webHidden/>
              </w:rPr>
              <w:fldChar w:fldCharType="separate"/>
            </w:r>
            <w:r w:rsidR="0044304E">
              <w:rPr>
                <w:noProof/>
                <w:webHidden/>
              </w:rPr>
              <w:t>23</w:t>
            </w:r>
            <w:r w:rsidR="004F01DC">
              <w:rPr>
                <w:noProof/>
                <w:webHidden/>
              </w:rPr>
              <w:fldChar w:fldCharType="end"/>
            </w:r>
          </w:hyperlink>
        </w:p>
        <w:p w:rsidR="004F01DC" w:rsidRDefault="00B40D80">
          <w:pPr>
            <w:pStyle w:val="TJ2"/>
            <w:tabs>
              <w:tab w:val="right" w:leader="dot" w:pos="8296"/>
            </w:tabs>
            <w:rPr>
              <w:noProof/>
            </w:rPr>
          </w:pPr>
          <w:hyperlink w:anchor="_Toc515458784" w:history="1">
            <w:r w:rsidR="004F01DC" w:rsidRPr="00215EDA">
              <w:rPr>
                <w:rStyle w:val="Hiperhivatkozs"/>
                <w:noProof/>
              </w:rPr>
              <w:t>4.2. Európai normatív környezet</w:t>
            </w:r>
            <w:r w:rsidR="004F01DC">
              <w:rPr>
                <w:noProof/>
                <w:webHidden/>
              </w:rPr>
              <w:tab/>
            </w:r>
            <w:r w:rsidR="004F01DC">
              <w:rPr>
                <w:noProof/>
                <w:webHidden/>
              </w:rPr>
              <w:fldChar w:fldCharType="begin"/>
            </w:r>
            <w:r w:rsidR="004F01DC">
              <w:rPr>
                <w:noProof/>
                <w:webHidden/>
              </w:rPr>
              <w:instrText xml:space="preserve"> PAGEREF _Toc515458784 \h </w:instrText>
            </w:r>
            <w:r w:rsidR="004F01DC">
              <w:rPr>
                <w:noProof/>
                <w:webHidden/>
              </w:rPr>
            </w:r>
            <w:r w:rsidR="004F01DC">
              <w:rPr>
                <w:noProof/>
                <w:webHidden/>
              </w:rPr>
              <w:fldChar w:fldCharType="separate"/>
            </w:r>
            <w:r w:rsidR="0044304E">
              <w:rPr>
                <w:noProof/>
                <w:webHidden/>
              </w:rPr>
              <w:t>25</w:t>
            </w:r>
            <w:r w:rsidR="004F01DC">
              <w:rPr>
                <w:noProof/>
                <w:webHidden/>
              </w:rPr>
              <w:fldChar w:fldCharType="end"/>
            </w:r>
          </w:hyperlink>
        </w:p>
        <w:p w:rsidR="004F01DC" w:rsidRDefault="00B40D80">
          <w:pPr>
            <w:pStyle w:val="TJ3"/>
            <w:tabs>
              <w:tab w:val="right" w:leader="dot" w:pos="8296"/>
            </w:tabs>
            <w:rPr>
              <w:noProof/>
            </w:rPr>
          </w:pPr>
          <w:hyperlink w:anchor="_Toc515458785" w:history="1">
            <w:r w:rsidR="004F01DC" w:rsidRPr="00215EDA">
              <w:rPr>
                <w:rStyle w:val="Hiperhivatkozs"/>
                <w:noProof/>
              </w:rPr>
              <w:t>4.2.1. Európai Unió</w:t>
            </w:r>
            <w:r w:rsidR="004F01DC">
              <w:rPr>
                <w:noProof/>
                <w:webHidden/>
              </w:rPr>
              <w:tab/>
            </w:r>
            <w:r w:rsidR="004F01DC">
              <w:rPr>
                <w:noProof/>
                <w:webHidden/>
              </w:rPr>
              <w:fldChar w:fldCharType="begin"/>
            </w:r>
            <w:r w:rsidR="004F01DC">
              <w:rPr>
                <w:noProof/>
                <w:webHidden/>
              </w:rPr>
              <w:instrText xml:space="preserve"> PAGEREF _Toc515458785 \h </w:instrText>
            </w:r>
            <w:r w:rsidR="004F01DC">
              <w:rPr>
                <w:noProof/>
                <w:webHidden/>
              </w:rPr>
            </w:r>
            <w:r w:rsidR="004F01DC">
              <w:rPr>
                <w:noProof/>
                <w:webHidden/>
              </w:rPr>
              <w:fldChar w:fldCharType="separate"/>
            </w:r>
            <w:r w:rsidR="0044304E">
              <w:rPr>
                <w:noProof/>
                <w:webHidden/>
              </w:rPr>
              <w:t>25</w:t>
            </w:r>
            <w:r w:rsidR="004F01DC">
              <w:rPr>
                <w:noProof/>
                <w:webHidden/>
              </w:rPr>
              <w:fldChar w:fldCharType="end"/>
            </w:r>
          </w:hyperlink>
        </w:p>
        <w:p w:rsidR="004F01DC" w:rsidRDefault="00B40D80">
          <w:pPr>
            <w:pStyle w:val="TJ3"/>
            <w:tabs>
              <w:tab w:val="right" w:leader="dot" w:pos="8296"/>
            </w:tabs>
            <w:rPr>
              <w:noProof/>
            </w:rPr>
          </w:pPr>
          <w:hyperlink w:anchor="_Toc515458786" w:history="1">
            <w:r w:rsidR="004F01DC" w:rsidRPr="00215EDA">
              <w:rPr>
                <w:rStyle w:val="Hiperhivatkozs"/>
                <w:noProof/>
              </w:rPr>
              <w:t>4.2.2. Európa Tanács</w:t>
            </w:r>
            <w:r w:rsidR="004F01DC">
              <w:rPr>
                <w:noProof/>
                <w:webHidden/>
              </w:rPr>
              <w:tab/>
            </w:r>
            <w:r w:rsidR="004F01DC">
              <w:rPr>
                <w:noProof/>
                <w:webHidden/>
              </w:rPr>
              <w:fldChar w:fldCharType="begin"/>
            </w:r>
            <w:r w:rsidR="004F01DC">
              <w:rPr>
                <w:noProof/>
                <w:webHidden/>
              </w:rPr>
              <w:instrText xml:space="preserve"> PAGEREF _Toc515458786 \h </w:instrText>
            </w:r>
            <w:r w:rsidR="004F01DC">
              <w:rPr>
                <w:noProof/>
                <w:webHidden/>
              </w:rPr>
            </w:r>
            <w:r w:rsidR="004F01DC">
              <w:rPr>
                <w:noProof/>
                <w:webHidden/>
              </w:rPr>
              <w:fldChar w:fldCharType="separate"/>
            </w:r>
            <w:r w:rsidR="0044304E">
              <w:rPr>
                <w:noProof/>
                <w:webHidden/>
              </w:rPr>
              <w:t>28</w:t>
            </w:r>
            <w:r w:rsidR="004F01DC">
              <w:rPr>
                <w:noProof/>
                <w:webHidden/>
              </w:rPr>
              <w:fldChar w:fldCharType="end"/>
            </w:r>
          </w:hyperlink>
        </w:p>
        <w:p w:rsidR="004F01DC" w:rsidRDefault="00B40D80">
          <w:pPr>
            <w:pStyle w:val="TJ1"/>
            <w:tabs>
              <w:tab w:val="right" w:leader="dot" w:pos="8296"/>
            </w:tabs>
            <w:rPr>
              <w:noProof/>
            </w:rPr>
          </w:pPr>
          <w:hyperlink w:anchor="_Toc515458787" w:history="1">
            <w:r w:rsidR="004F01DC" w:rsidRPr="00215EDA">
              <w:rPr>
                <w:rStyle w:val="Hiperhivatkozs"/>
                <w:i/>
                <w:iCs/>
                <w:noProof/>
              </w:rPr>
              <w:t>4.2.2.a Egyezmény az emberi jogok és alapvető szabadságok védelméről</w:t>
            </w:r>
            <w:r w:rsidR="004F01DC" w:rsidRPr="00215EDA">
              <w:rPr>
                <w:rStyle w:val="Hiperhivatkozs"/>
                <w:i/>
                <w:noProof/>
              </w:rPr>
              <w:t xml:space="preserve"> (link)</w:t>
            </w:r>
            <w:r w:rsidR="004F01DC">
              <w:rPr>
                <w:noProof/>
                <w:webHidden/>
              </w:rPr>
              <w:tab/>
            </w:r>
            <w:r w:rsidR="004F01DC">
              <w:rPr>
                <w:noProof/>
                <w:webHidden/>
              </w:rPr>
              <w:fldChar w:fldCharType="begin"/>
            </w:r>
            <w:r w:rsidR="004F01DC">
              <w:rPr>
                <w:noProof/>
                <w:webHidden/>
              </w:rPr>
              <w:instrText xml:space="preserve"> PAGEREF _Toc515458787 \h </w:instrText>
            </w:r>
            <w:r w:rsidR="004F01DC">
              <w:rPr>
                <w:noProof/>
                <w:webHidden/>
              </w:rPr>
            </w:r>
            <w:r w:rsidR="004F01DC">
              <w:rPr>
                <w:noProof/>
                <w:webHidden/>
              </w:rPr>
              <w:fldChar w:fldCharType="separate"/>
            </w:r>
            <w:r w:rsidR="0044304E">
              <w:rPr>
                <w:noProof/>
                <w:webHidden/>
              </w:rPr>
              <w:t>28</w:t>
            </w:r>
            <w:r w:rsidR="004F01DC">
              <w:rPr>
                <w:noProof/>
                <w:webHidden/>
              </w:rPr>
              <w:fldChar w:fldCharType="end"/>
            </w:r>
          </w:hyperlink>
        </w:p>
        <w:p w:rsidR="004F01DC" w:rsidRDefault="00B40D80">
          <w:pPr>
            <w:pStyle w:val="TJ3"/>
            <w:tabs>
              <w:tab w:val="right" w:leader="dot" w:pos="8296"/>
            </w:tabs>
            <w:rPr>
              <w:noProof/>
            </w:rPr>
          </w:pPr>
          <w:hyperlink w:anchor="_Toc515458788" w:history="1">
            <w:r w:rsidR="004F01DC" w:rsidRPr="00215EDA">
              <w:rPr>
                <w:rStyle w:val="Hiperhivatkozs"/>
                <w:noProof/>
              </w:rPr>
              <w:t>4.2.3. Európai Biztonsági és Együttműködési Szervezet</w:t>
            </w:r>
            <w:r w:rsidR="004F01DC">
              <w:rPr>
                <w:noProof/>
                <w:webHidden/>
              </w:rPr>
              <w:tab/>
            </w:r>
            <w:r w:rsidR="004F01DC">
              <w:rPr>
                <w:noProof/>
                <w:webHidden/>
              </w:rPr>
              <w:fldChar w:fldCharType="begin"/>
            </w:r>
            <w:r w:rsidR="004F01DC">
              <w:rPr>
                <w:noProof/>
                <w:webHidden/>
              </w:rPr>
              <w:instrText xml:space="preserve"> PAGEREF _Toc515458788 \h </w:instrText>
            </w:r>
            <w:r w:rsidR="004F01DC">
              <w:rPr>
                <w:noProof/>
                <w:webHidden/>
              </w:rPr>
            </w:r>
            <w:r w:rsidR="004F01DC">
              <w:rPr>
                <w:noProof/>
                <w:webHidden/>
              </w:rPr>
              <w:fldChar w:fldCharType="separate"/>
            </w:r>
            <w:r w:rsidR="0044304E">
              <w:rPr>
                <w:noProof/>
                <w:webHidden/>
              </w:rPr>
              <w:t>29</w:t>
            </w:r>
            <w:r w:rsidR="004F01DC">
              <w:rPr>
                <w:noProof/>
                <w:webHidden/>
              </w:rPr>
              <w:fldChar w:fldCharType="end"/>
            </w:r>
          </w:hyperlink>
        </w:p>
        <w:p w:rsidR="004F01DC" w:rsidRDefault="00B40D80">
          <w:pPr>
            <w:pStyle w:val="TJ1"/>
            <w:tabs>
              <w:tab w:val="right" w:leader="dot" w:pos="8296"/>
            </w:tabs>
            <w:rPr>
              <w:noProof/>
            </w:rPr>
          </w:pPr>
          <w:hyperlink w:anchor="_Toc515458789" w:history="1">
            <w:r w:rsidR="004F01DC" w:rsidRPr="00215EDA">
              <w:rPr>
                <w:rStyle w:val="Hiperhivatkozs"/>
                <w:noProof/>
              </w:rPr>
              <w:t>5. Irodalomjegyzék</w:t>
            </w:r>
            <w:r w:rsidR="004F01DC">
              <w:rPr>
                <w:noProof/>
                <w:webHidden/>
              </w:rPr>
              <w:tab/>
            </w:r>
            <w:r w:rsidR="004F01DC">
              <w:rPr>
                <w:noProof/>
                <w:webHidden/>
              </w:rPr>
              <w:fldChar w:fldCharType="begin"/>
            </w:r>
            <w:r w:rsidR="004F01DC">
              <w:rPr>
                <w:noProof/>
                <w:webHidden/>
              </w:rPr>
              <w:instrText xml:space="preserve"> PAGEREF _Toc515458789 \h </w:instrText>
            </w:r>
            <w:r w:rsidR="004F01DC">
              <w:rPr>
                <w:noProof/>
                <w:webHidden/>
              </w:rPr>
            </w:r>
            <w:r w:rsidR="004F01DC">
              <w:rPr>
                <w:noProof/>
                <w:webHidden/>
              </w:rPr>
              <w:fldChar w:fldCharType="separate"/>
            </w:r>
            <w:r w:rsidR="0044304E">
              <w:rPr>
                <w:noProof/>
                <w:webHidden/>
              </w:rPr>
              <w:t>30</w:t>
            </w:r>
            <w:r w:rsidR="004F01DC">
              <w:rPr>
                <w:noProof/>
                <w:webHidden/>
              </w:rPr>
              <w:fldChar w:fldCharType="end"/>
            </w:r>
          </w:hyperlink>
        </w:p>
        <w:p w:rsidR="00F95992" w:rsidRDefault="00EA757C">
          <w:r>
            <w:rPr>
              <w:b/>
              <w:bCs/>
              <w:noProof/>
            </w:rPr>
            <w:fldChar w:fldCharType="end"/>
          </w:r>
        </w:p>
      </w:sdtContent>
    </w:sdt>
    <w:p w:rsidR="00F95992" w:rsidRDefault="00F95992" w:rsidP="003B256E">
      <w:pPr>
        <w:jc w:val="both"/>
        <w:rPr>
          <w:rFonts w:ascii="Times New Roman" w:hAnsi="Times New Roman" w:cs="Times New Roman"/>
          <w:b/>
          <w:bCs/>
          <w:sz w:val="24"/>
          <w:szCs w:val="24"/>
          <w:u w:val="single"/>
          <w:lang w:val="en-US"/>
        </w:rPr>
      </w:pPr>
    </w:p>
    <w:p w:rsidR="00F95992" w:rsidRDefault="00F95992" w:rsidP="003B256E">
      <w:pPr>
        <w:jc w:val="both"/>
        <w:rPr>
          <w:rFonts w:ascii="Times New Roman" w:hAnsi="Times New Roman" w:cs="Times New Roman"/>
          <w:b/>
          <w:bCs/>
          <w:sz w:val="24"/>
          <w:szCs w:val="24"/>
          <w:u w:val="single"/>
          <w:lang w:val="en-US"/>
        </w:rPr>
      </w:pPr>
    </w:p>
    <w:p w:rsidR="00A15260" w:rsidRDefault="00A15260" w:rsidP="003B256E">
      <w:pPr>
        <w:jc w:val="both"/>
        <w:rPr>
          <w:rFonts w:ascii="Times New Roman" w:hAnsi="Times New Roman" w:cs="Times New Roman"/>
          <w:b/>
          <w:bCs/>
          <w:sz w:val="24"/>
          <w:szCs w:val="24"/>
          <w:u w:val="single"/>
          <w:lang w:val="en-US"/>
        </w:rPr>
      </w:pPr>
    </w:p>
    <w:p w:rsidR="00A15260" w:rsidRDefault="00A15260" w:rsidP="003B256E">
      <w:pPr>
        <w:jc w:val="both"/>
        <w:rPr>
          <w:rFonts w:ascii="Times New Roman" w:hAnsi="Times New Roman" w:cs="Times New Roman"/>
          <w:b/>
          <w:bCs/>
          <w:sz w:val="24"/>
          <w:szCs w:val="24"/>
          <w:u w:val="single"/>
          <w:lang w:val="en-US"/>
        </w:rPr>
      </w:pPr>
    </w:p>
    <w:p w:rsidR="00A15260" w:rsidRDefault="00A15260" w:rsidP="003B256E">
      <w:pPr>
        <w:jc w:val="both"/>
        <w:rPr>
          <w:rFonts w:ascii="Times New Roman" w:hAnsi="Times New Roman" w:cs="Times New Roman"/>
          <w:b/>
          <w:bCs/>
          <w:sz w:val="24"/>
          <w:szCs w:val="24"/>
          <w:u w:val="single"/>
          <w:lang w:val="en-US"/>
        </w:rPr>
      </w:pPr>
    </w:p>
    <w:p w:rsidR="00A87978" w:rsidRDefault="00A87978" w:rsidP="003B256E">
      <w:pPr>
        <w:jc w:val="both"/>
        <w:rPr>
          <w:rFonts w:ascii="Times New Roman" w:hAnsi="Times New Roman" w:cs="Times New Roman"/>
          <w:b/>
          <w:bCs/>
          <w:sz w:val="24"/>
          <w:szCs w:val="24"/>
          <w:u w:val="single"/>
          <w:lang w:val="en-US"/>
        </w:rPr>
      </w:pPr>
    </w:p>
    <w:p w:rsidR="008541CA" w:rsidRDefault="008541CA" w:rsidP="003B256E">
      <w:pPr>
        <w:jc w:val="both"/>
        <w:rPr>
          <w:rFonts w:ascii="Times New Roman" w:hAnsi="Times New Roman" w:cs="Times New Roman"/>
          <w:b/>
          <w:bCs/>
          <w:sz w:val="24"/>
          <w:szCs w:val="24"/>
          <w:u w:val="single"/>
          <w:lang w:val="en-US"/>
        </w:rPr>
      </w:pPr>
    </w:p>
    <w:p w:rsidR="008541CA" w:rsidRDefault="008541CA" w:rsidP="003B256E">
      <w:pPr>
        <w:jc w:val="both"/>
        <w:rPr>
          <w:rFonts w:ascii="Times New Roman" w:hAnsi="Times New Roman" w:cs="Times New Roman"/>
          <w:b/>
          <w:bCs/>
          <w:sz w:val="24"/>
          <w:szCs w:val="24"/>
          <w:u w:val="single"/>
          <w:lang w:val="en-US"/>
        </w:rPr>
      </w:pPr>
    </w:p>
    <w:p w:rsidR="00A15260" w:rsidRDefault="00A15260" w:rsidP="003B256E">
      <w:pPr>
        <w:jc w:val="both"/>
        <w:rPr>
          <w:rFonts w:ascii="Times New Roman" w:hAnsi="Times New Roman" w:cs="Times New Roman"/>
          <w:b/>
          <w:bCs/>
          <w:sz w:val="24"/>
          <w:szCs w:val="24"/>
          <w:u w:val="single"/>
          <w:lang w:val="en-US"/>
        </w:rPr>
      </w:pPr>
    </w:p>
    <w:p w:rsidR="003B256E" w:rsidRPr="003F2E6E" w:rsidRDefault="003B256E" w:rsidP="00A65305">
      <w:pPr>
        <w:pStyle w:val="Cmsor1"/>
      </w:pPr>
      <w:bookmarkStart w:id="1" w:name="_Toc515458770"/>
      <w:r w:rsidRPr="003F2E6E">
        <w:lastRenderedPageBreak/>
        <w:t xml:space="preserve">1. </w:t>
      </w:r>
      <w:r w:rsidR="003F2E6E" w:rsidRPr="003F2E6E">
        <w:t xml:space="preserve">A </w:t>
      </w:r>
      <w:r w:rsidR="00A70C6D">
        <w:t>gyűlölet-bűncselekmény</w:t>
      </w:r>
      <w:r w:rsidR="003F2E6E">
        <w:t>ek természete</w:t>
      </w:r>
      <w:bookmarkEnd w:id="1"/>
    </w:p>
    <w:p w:rsidR="00F95992" w:rsidRPr="003F2E6E" w:rsidRDefault="00F95992" w:rsidP="003B256E">
      <w:pPr>
        <w:jc w:val="both"/>
        <w:rPr>
          <w:rStyle w:val="Finomkiemels"/>
          <w:rFonts w:ascii="Times New Roman" w:hAnsi="Times New Roman" w:cs="Times New Roman"/>
          <w:sz w:val="24"/>
          <w:szCs w:val="24"/>
        </w:rPr>
      </w:pPr>
    </w:p>
    <w:p w:rsidR="003B256E" w:rsidRPr="003F2E6E" w:rsidRDefault="00A70C6D" w:rsidP="003B256E">
      <w:pPr>
        <w:jc w:val="both"/>
        <w:rPr>
          <w:rFonts w:ascii="Times New Roman" w:hAnsi="Times New Roman" w:cs="Times New Roman"/>
          <w:sz w:val="24"/>
          <w:szCs w:val="24"/>
        </w:rPr>
      </w:pPr>
      <w:r w:rsidRPr="00A70C6D">
        <w:rPr>
          <w:rStyle w:val="Finomkiemels"/>
        </w:rPr>
        <w:t xml:space="preserve">Minden. emberi lény szabadon születik és egyenlő méltósága és joga van. Az emberek, ésszel és lelkiismerettel bírván, egymással szemben testvéri szellemben </w:t>
      </w:r>
      <w:proofErr w:type="gramStart"/>
      <w:r w:rsidRPr="00A70C6D">
        <w:rPr>
          <w:rStyle w:val="Finomkiemels"/>
        </w:rPr>
        <w:t>kell</w:t>
      </w:r>
      <w:proofErr w:type="gramEnd"/>
      <w:r w:rsidRPr="00A70C6D">
        <w:rPr>
          <w:rStyle w:val="Finomkiemels"/>
        </w:rPr>
        <w:t xml:space="preserve"> hogy viseltessenek</w:t>
      </w:r>
      <w:r w:rsidRPr="00A70C6D">
        <w:rPr>
          <w:rStyle w:val="Finomkiemels"/>
          <w:rFonts w:ascii="Times New Roman" w:hAnsi="Times New Roman" w:cs="Times New Roman"/>
          <w:sz w:val="24"/>
          <w:szCs w:val="24"/>
        </w:rPr>
        <w:t>.</w:t>
      </w:r>
      <w:r w:rsidR="003B256E" w:rsidRPr="003F2E6E">
        <w:rPr>
          <w:rFonts w:ascii="Times New Roman" w:hAnsi="Times New Roman" w:cs="Times New Roman"/>
          <w:i/>
          <w:iCs/>
          <w:sz w:val="24"/>
          <w:szCs w:val="24"/>
          <w:vertAlign w:val="superscript"/>
        </w:rPr>
        <w:footnoteReference w:id="1"/>
      </w:r>
    </w:p>
    <w:p w:rsidR="001425CF" w:rsidRPr="003F2E6E" w:rsidRDefault="00885D56" w:rsidP="001425CF">
      <w:pPr>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A </w:t>
      </w:r>
      <w:r w:rsidR="00A70C6D">
        <w:rPr>
          <w:rFonts w:ascii="Times New Roman" w:hAnsi="Times New Roman" w:cs="Times New Roman"/>
          <w:iCs/>
          <w:sz w:val="24"/>
          <w:szCs w:val="24"/>
        </w:rPr>
        <w:t>gyűlölet-bűncselekmény</w:t>
      </w:r>
      <w:r>
        <w:rPr>
          <w:rFonts w:ascii="Times New Roman" w:hAnsi="Times New Roman" w:cs="Times New Roman"/>
          <w:iCs/>
          <w:sz w:val="24"/>
          <w:szCs w:val="24"/>
        </w:rPr>
        <w:t>ek olyan b</w:t>
      </w:r>
      <w:r w:rsidR="009964CA">
        <w:rPr>
          <w:rFonts w:ascii="Times New Roman" w:hAnsi="Times New Roman" w:cs="Times New Roman"/>
          <w:iCs/>
          <w:sz w:val="24"/>
          <w:szCs w:val="24"/>
        </w:rPr>
        <w:t>űncselekmények</w:t>
      </w:r>
      <w:r>
        <w:rPr>
          <w:rFonts w:ascii="Times New Roman" w:hAnsi="Times New Roman" w:cs="Times New Roman"/>
          <w:iCs/>
          <w:sz w:val="24"/>
          <w:szCs w:val="24"/>
        </w:rPr>
        <w:t>, amelyeket el</w:t>
      </w:r>
      <w:r w:rsidR="009964CA">
        <w:rPr>
          <w:rFonts w:ascii="Times New Roman" w:hAnsi="Times New Roman" w:cs="Times New Roman"/>
          <w:iCs/>
          <w:sz w:val="24"/>
          <w:szCs w:val="24"/>
        </w:rPr>
        <w:t>őítéletes</w:t>
      </w:r>
      <w:r>
        <w:rPr>
          <w:rFonts w:ascii="Times New Roman" w:hAnsi="Times New Roman" w:cs="Times New Roman"/>
          <w:iCs/>
          <w:sz w:val="24"/>
          <w:szCs w:val="24"/>
        </w:rPr>
        <w:t xml:space="preserve"> indítékkal követnek el.</w:t>
      </w:r>
      <w:r w:rsidR="003B256E" w:rsidRPr="003F2E6E">
        <w:rPr>
          <w:rFonts w:ascii="Times New Roman" w:hAnsi="Times New Roman" w:cs="Times New Roman"/>
          <w:iCs/>
          <w:sz w:val="24"/>
          <w:szCs w:val="24"/>
          <w:vertAlign w:val="superscript"/>
        </w:rPr>
        <w:footnoteReference w:id="2"/>
      </w:r>
      <w:r>
        <w:rPr>
          <w:rFonts w:ascii="Times New Roman" w:hAnsi="Times New Roman" w:cs="Times New Roman"/>
          <w:iCs/>
          <w:sz w:val="24"/>
          <w:szCs w:val="24"/>
        </w:rPr>
        <w:t>Éppen ezért gyakran hívják őket „el</w:t>
      </w:r>
      <w:r w:rsidR="009964CA">
        <w:rPr>
          <w:rFonts w:ascii="Times New Roman" w:hAnsi="Times New Roman" w:cs="Times New Roman"/>
          <w:iCs/>
          <w:sz w:val="24"/>
          <w:szCs w:val="24"/>
        </w:rPr>
        <w:t>őítélet</w:t>
      </w:r>
      <w:r>
        <w:rPr>
          <w:rFonts w:ascii="Times New Roman" w:hAnsi="Times New Roman" w:cs="Times New Roman"/>
          <w:iCs/>
          <w:sz w:val="24"/>
          <w:szCs w:val="24"/>
        </w:rPr>
        <w:t xml:space="preserve"> motiválta” bűncselekményeknek is, amely kifejezés rögtön rávilágít e bűncselekménytípus két meghatározó jellemzőjére. Az első, hogy az elkövetett cselekménynek a nemzeti vagy nemzetközi büntetőjog szerint büntetendőnek kell lennie. </w:t>
      </w:r>
      <w:r w:rsidR="009964CA">
        <w:rPr>
          <w:rFonts w:ascii="Times New Roman" w:hAnsi="Times New Roman" w:cs="Times New Roman"/>
          <w:iCs/>
          <w:sz w:val="24"/>
          <w:szCs w:val="24"/>
        </w:rPr>
        <w:t>Ebben az összefüggésben az államok között a bűncselekményt (és nem például szabálysértést) megvalósító magatartások pontos listájában mutatkozó kis különbségek dacára számon tarthatók a gyűlölet-bűncselekmények jellemző elkövetési magatartásai.</w:t>
      </w:r>
      <w:r w:rsidR="00F67D7E">
        <w:rPr>
          <w:rFonts w:ascii="Times New Roman" w:hAnsi="Times New Roman" w:cs="Times New Roman"/>
          <w:iCs/>
          <w:sz w:val="24"/>
          <w:szCs w:val="24"/>
        </w:rPr>
        <w:t xml:space="preserve"> </w:t>
      </w:r>
      <w:r w:rsidR="00A70C6D">
        <w:rPr>
          <w:rFonts w:ascii="Times New Roman" w:hAnsi="Times New Roman" w:cs="Times New Roman"/>
          <w:iCs/>
          <w:sz w:val="24"/>
          <w:szCs w:val="24"/>
        </w:rPr>
        <w:t>Gyűlölet-bűncselekmény</w:t>
      </w:r>
      <w:r w:rsidR="00F67D7E">
        <w:rPr>
          <w:rFonts w:ascii="Times New Roman" w:hAnsi="Times New Roman" w:cs="Times New Roman"/>
          <w:iCs/>
          <w:sz w:val="24"/>
          <w:szCs w:val="24"/>
        </w:rPr>
        <w:t>ek lehetnek például, de nem kizárólag, a fenyegető fellépés és/vagy egyéb megfélemlítési kísérletek, az anyagi károkozás, a testi sértés és az emberölés.</w:t>
      </w:r>
    </w:p>
    <w:p w:rsidR="00F944F7" w:rsidRPr="003F2E6E" w:rsidRDefault="00F67D7E" w:rsidP="001425CF">
      <w:pPr>
        <w:ind w:firstLine="720"/>
        <w:jc w:val="both"/>
        <w:rPr>
          <w:rFonts w:ascii="Times New Roman" w:hAnsi="Times New Roman" w:cs="Times New Roman"/>
          <w:iCs/>
          <w:sz w:val="24"/>
          <w:szCs w:val="24"/>
        </w:rPr>
      </w:pPr>
      <w:r>
        <w:rPr>
          <w:rFonts w:ascii="Times New Roman" w:hAnsi="Times New Roman" w:cs="Times New Roman"/>
          <w:iCs/>
          <w:sz w:val="24"/>
          <w:szCs w:val="24"/>
        </w:rPr>
        <w:t>A második meghatározó jellemző azonban</w:t>
      </w:r>
      <w:r w:rsidR="00AC4366">
        <w:rPr>
          <w:rFonts w:ascii="Times New Roman" w:hAnsi="Times New Roman" w:cs="Times New Roman"/>
          <w:iCs/>
          <w:sz w:val="24"/>
          <w:szCs w:val="24"/>
        </w:rPr>
        <w:t xml:space="preserve"> –</w:t>
      </w:r>
      <w:r>
        <w:rPr>
          <w:rFonts w:ascii="Times New Roman" w:hAnsi="Times New Roman" w:cs="Times New Roman"/>
          <w:iCs/>
          <w:sz w:val="24"/>
          <w:szCs w:val="24"/>
        </w:rPr>
        <w:t xml:space="preserve"> amely a </w:t>
      </w:r>
      <w:r w:rsidR="00A70C6D">
        <w:rPr>
          <w:rFonts w:ascii="Times New Roman" w:hAnsi="Times New Roman" w:cs="Times New Roman"/>
          <w:iCs/>
          <w:sz w:val="24"/>
          <w:szCs w:val="24"/>
        </w:rPr>
        <w:t>gyűlölet-bűncselekmény</w:t>
      </w:r>
      <w:r>
        <w:rPr>
          <w:rFonts w:ascii="Times New Roman" w:hAnsi="Times New Roman" w:cs="Times New Roman"/>
          <w:iCs/>
          <w:sz w:val="24"/>
          <w:szCs w:val="24"/>
        </w:rPr>
        <w:t>ek egyéb bűncselekményektől való megkülönböztetésére is szolgál</w:t>
      </w:r>
      <w:r w:rsidR="00AC4366">
        <w:rPr>
          <w:rFonts w:ascii="Times New Roman" w:hAnsi="Times New Roman" w:cs="Times New Roman"/>
          <w:iCs/>
          <w:sz w:val="24"/>
          <w:szCs w:val="24"/>
        </w:rPr>
        <w:t xml:space="preserve"> –már </w:t>
      </w:r>
      <w:r>
        <w:rPr>
          <w:rFonts w:ascii="Times New Roman" w:hAnsi="Times New Roman" w:cs="Times New Roman"/>
          <w:iCs/>
          <w:sz w:val="24"/>
          <w:szCs w:val="24"/>
        </w:rPr>
        <w:t xml:space="preserve">kevésbé kézzelfogható és </w:t>
      </w:r>
      <w:r w:rsidR="00AC4366">
        <w:rPr>
          <w:rFonts w:ascii="Times New Roman" w:hAnsi="Times New Roman" w:cs="Times New Roman"/>
          <w:iCs/>
          <w:sz w:val="24"/>
          <w:szCs w:val="24"/>
        </w:rPr>
        <w:t>könnyen</w:t>
      </w:r>
      <w:r>
        <w:rPr>
          <w:rFonts w:ascii="Times New Roman" w:hAnsi="Times New Roman" w:cs="Times New Roman"/>
          <w:iCs/>
          <w:sz w:val="24"/>
          <w:szCs w:val="24"/>
        </w:rPr>
        <w:t xml:space="preserve"> meghatározható, mivel a viselkedést kiváltó alap</w:t>
      </w:r>
      <w:r w:rsidR="004F551E">
        <w:rPr>
          <w:rFonts w:ascii="Times New Roman" w:hAnsi="Times New Roman" w:cs="Times New Roman"/>
          <w:iCs/>
          <w:sz w:val="24"/>
          <w:szCs w:val="24"/>
        </w:rPr>
        <w:t xml:space="preserve">vető </w:t>
      </w:r>
      <w:r>
        <w:rPr>
          <w:rFonts w:ascii="Times New Roman" w:hAnsi="Times New Roman" w:cs="Times New Roman"/>
          <w:iCs/>
          <w:sz w:val="24"/>
          <w:szCs w:val="24"/>
        </w:rPr>
        <w:t xml:space="preserve">indítékra vonatkozik. </w:t>
      </w:r>
      <w:r w:rsidR="004F551E">
        <w:rPr>
          <w:rFonts w:ascii="Times New Roman" w:hAnsi="Times New Roman" w:cs="Times New Roman"/>
          <w:iCs/>
          <w:sz w:val="24"/>
          <w:szCs w:val="24"/>
        </w:rPr>
        <w:t xml:space="preserve">Ahhoz ugyanis, hogy egy vétség </w:t>
      </w:r>
      <w:r w:rsidR="00A70C6D">
        <w:rPr>
          <w:rFonts w:ascii="Times New Roman" w:hAnsi="Times New Roman" w:cs="Times New Roman"/>
          <w:iCs/>
          <w:sz w:val="24"/>
          <w:szCs w:val="24"/>
        </w:rPr>
        <w:t>gyűlölet-bűncselekmény</w:t>
      </w:r>
      <w:r w:rsidR="004F551E">
        <w:rPr>
          <w:rFonts w:ascii="Times New Roman" w:hAnsi="Times New Roman" w:cs="Times New Roman"/>
          <w:iCs/>
          <w:sz w:val="24"/>
          <w:szCs w:val="24"/>
        </w:rPr>
        <w:t xml:space="preserve">nek, ne pedig a büntetőjog szerinti közönséges vétségnek legyen tekinthető, az </w:t>
      </w:r>
      <w:proofErr w:type="gramStart"/>
      <w:r w:rsidR="004F551E">
        <w:rPr>
          <w:rFonts w:ascii="Times New Roman" w:hAnsi="Times New Roman" w:cs="Times New Roman"/>
          <w:iCs/>
          <w:sz w:val="24"/>
          <w:szCs w:val="24"/>
        </w:rPr>
        <w:t>elkövető(</w:t>
      </w:r>
      <w:proofErr w:type="spellStart"/>
      <w:proofErr w:type="gramEnd"/>
      <w:r w:rsidR="004F551E">
        <w:rPr>
          <w:rFonts w:ascii="Times New Roman" w:hAnsi="Times New Roman" w:cs="Times New Roman"/>
          <w:iCs/>
          <w:sz w:val="24"/>
          <w:szCs w:val="24"/>
        </w:rPr>
        <w:t>ke</w:t>
      </w:r>
      <w:proofErr w:type="spellEnd"/>
      <w:r w:rsidR="004F551E">
        <w:rPr>
          <w:rFonts w:ascii="Times New Roman" w:hAnsi="Times New Roman" w:cs="Times New Roman"/>
          <w:iCs/>
          <w:sz w:val="24"/>
          <w:szCs w:val="24"/>
        </w:rPr>
        <w:t>)t a célszemély(</w:t>
      </w:r>
      <w:proofErr w:type="spellStart"/>
      <w:r w:rsidR="004F551E">
        <w:rPr>
          <w:rFonts w:ascii="Times New Roman" w:hAnsi="Times New Roman" w:cs="Times New Roman"/>
          <w:iCs/>
          <w:sz w:val="24"/>
          <w:szCs w:val="24"/>
        </w:rPr>
        <w:t>ek</w:t>
      </w:r>
      <w:proofErr w:type="spellEnd"/>
      <w:r w:rsidR="004F551E">
        <w:rPr>
          <w:rFonts w:ascii="Times New Roman" w:hAnsi="Times New Roman" w:cs="Times New Roman"/>
          <w:iCs/>
          <w:sz w:val="24"/>
          <w:szCs w:val="24"/>
        </w:rPr>
        <w:t xml:space="preserve">) elleni </w:t>
      </w:r>
      <w:r w:rsidR="00386BB2">
        <w:rPr>
          <w:rFonts w:ascii="Times New Roman" w:hAnsi="Times New Roman" w:cs="Times New Roman"/>
          <w:iCs/>
          <w:sz w:val="24"/>
          <w:szCs w:val="24"/>
        </w:rPr>
        <w:t>el</w:t>
      </w:r>
      <w:r w:rsidR="0050636B">
        <w:rPr>
          <w:rFonts w:ascii="Times New Roman" w:hAnsi="Times New Roman" w:cs="Times New Roman"/>
          <w:iCs/>
          <w:sz w:val="24"/>
          <w:szCs w:val="24"/>
        </w:rPr>
        <w:t>őítéletes</w:t>
      </w:r>
      <w:r w:rsidR="004F551E">
        <w:rPr>
          <w:rFonts w:ascii="Times New Roman" w:hAnsi="Times New Roman" w:cs="Times New Roman"/>
          <w:iCs/>
          <w:sz w:val="24"/>
          <w:szCs w:val="24"/>
        </w:rPr>
        <w:t xml:space="preserve"> véleménynek kell motiválnia; ráadásul olyan </w:t>
      </w:r>
      <w:r w:rsidR="00386BB2">
        <w:rPr>
          <w:rFonts w:ascii="Times New Roman" w:hAnsi="Times New Roman" w:cs="Times New Roman"/>
          <w:iCs/>
          <w:sz w:val="24"/>
          <w:szCs w:val="24"/>
        </w:rPr>
        <w:t>el</w:t>
      </w:r>
      <w:r w:rsidR="0050636B">
        <w:rPr>
          <w:rFonts w:ascii="Times New Roman" w:hAnsi="Times New Roman" w:cs="Times New Roman"/>
          <w:iCs/>
          <w:sz w:val="24"/>
          <w:szCs w:val="24"/>
        </w:rPr>
        <w:t>őítélet</w:t>
      </w:r>
      <w:r w:rsidR="004F551E">
        <w:rPr>
          <w:rFonts w:ascii="Times New Roman" w:hAnsi="Times New Roman" w:cs="Times New Roman"/>
          <w:iCs/>
          <w:sz w:val="24"/>
          <w:szCs w:val="24"/>
        </w:rPr>
        <w:t>nek, amely szorosan kapcsolód</w:t>
      </w:r>
      <w:r w:rsidR="00A70C6D">
        <w:rPr>
          <w:rFonts w:ascii="Times New Roman" w:hAnsi="Times New Roman" w:cs="Times New Roman"/>
          <w:iCs/>
          <w:sz w:val="24"/>
          <w:szCs w:val="24"/>
        </w:rPr>
        <w:t>ik</w:t>
      </w:r>
      <w:r w:rsidR="004F551E">
        <w:rPr>
          <w:rFonts w:ascii="Times New Roman" w:hAnsi="Times New Roman" w:cs="Times New Roman"/>
          <w:iCs/>
          <w:sz w:val="24"/>
          <w:szCs w:val="24"/>
        </w:rPr>
        <w:t xml:space="preserve"> a célszemély által (való</w:t>
      </w:r>
      <w:r w:rsidR="0050636B">
        <w:rPr>
          <w:rFonts w:ascii="Times New Roman" w:hAnsi="Times New Roman" w:cs="Times New Roman"/>
          <w:iCs/>
          <w:sz w:val="24"/>
          <w:szCs w:val="24"/>
        </w:rPr>
        <w:t>s</w:t>
      </w:r>
      <w:r w:rsidR="004F551E">
        <w:rPr>
          <w:rFonts w:ascii="Times New Roman" w:hAnsi="Times New Roman" w:cs="Times New Roman"/>
          <w:iCs/>
          <w:sz w:val="24"/>
          <w:szCs w:val="24"/>
        </w:rPr>
        <w:t xml:space="preserve"> vagy feltételez</w:t>
      </w:r>
      <w:r w:rsidR="00386BB2">
        <w:rPr>
          <w:rFonts w:ascii="Times New Roman" w:hAnsi="Times New Roman" w:cs="Times New Roman"/>
          <w:iCs/>
          <w:sz w:val="24"/>
          <w:szCs w:val="24"/>
        </w:rPr>
        <w:t>ett</w:t>
      </w:r>
      <w:r w:rsidR="004F551E">
        <w:rPr>
          <w:rFonts w:ascii="Times New Roman" w:hAnsi="Times New Roman" w:cs="Times New Roman"/>
          <w:iCs/>
          <w:sz w:val="24"/>
          <w:szCs w:val="24"/>
        </w:rPr>
        <w:t>) egy vagy több védett tulajdonság</w:t>
      </w:r>
      <w:r w:rsidR="00386BB2">
        <w:rPr>
          <w:rFonts w:ascii="Times New Roman" w:hAnsi="Times New Roman" w:cs="Times New Roman"/>
          <w:iCs/>
          <w:sz w:val="24"/>
          <w:szCs w:val="24"/>
        </w:rPr>
        <w:t>hoz</w:t>
      </w:r>
      <w:r w:rsidR="004F551E">
        <w:rPr>
          <w:rFonts w:ascii="Times New Roman" w:hAnsi="Times New Roman" w:cs="Times New Roman"/>
          <w:iCs/>
          <w:sz w:val="24"/>
          <w:szCs w:val="24"/>
        </w:rPr>
        <w:t>, amelyek őt az elkövető szemében célszeméllyé tették. Mielőtt a köztük lévő összefüggéseket tovább vizsgálnánk, vegyük szemügyre mindkét szempontot részletesebben.</w:t>
      </w:r>
    </w:p>
    <w:p w:rsidR="00A15260" w:rsidRPr="003F2E6E" w:rsidRDefault="00A15260" w:rsidP="003B256E">
      <w:pPr>
        <w:jc w:val="both"/>
        <w:rPr>
          <w:rFonts w:ascii="Times New Roman" w:hAnsi="Times New Roman" w:cs="Times New Roman"/>
          <w:iCs/>
          <w:sz w:val="24"/>
          <w:szCs w:val="24"/>
        </w:rPr>
      </w:pPr>
    </w:p>
    <w:p w:rsidR="00A15260" w:rsidRPr="003F2E6E" w:rsidRDefault="00F95992" w:rsidP="00A65305">
      <w:pPr>
        <w:pStyle w:val="Cmsor2"/>
        <w:rPr>
          <w:rStyle w:val="Finomkiemels"/>
          <w:i w:val="0"/>
          <w:iCs w:val="0"/>
          <w:color w:val="243F60" w:themeColor="accent1" w:themeShade="7F"/>
        </w:rPr>
      </w:pPr>
      <w:bookmarkStart w:id="2" w:name="_Toc515458771"/>
      <w:r w:rsidRPr="003F2E6E">
        <w:t xml:space="preserve">1.1 </w:t>
      </w:r>
      <w:r w:rsidR="004F551E">
        <w:t>Az el</w:t>
      </w:r>
      <w:r w:rsidR="0050636B">
        <w:t>őítéletrő</w:t>
      </w:r>
      <w:r w:rsidR="00386BB2">
        <w:t>l</w:t>
      </w:r>
      <w:bookmarkEnd w:id="2"/>
    </w:p>
    <w:p w:rsidR="00A65305" w:rsidRPr="003F2E6E" w:rsidRDefault="00A65305" w:rsidP="00FC5E75">
      <w:pPr>
        <w:jc w:val="both"/>
        <w:rPr>
          <w:rStyle w:val="Finomkiemels"/>
        </w:rPr>
      </w:pPr>
    </w:p>
    <w:p w:rsidR="00FC5E75" w:rsidRPr="003F2E6E" w:rsidRDefault="00AC4366" w:rsidP="00FC5E75">
      <w:pPr>
        <w:jc w:val="both"/>
        <w:rPr>
          <w:rFonts w:ascii="Times New Roman" w:hAnsi="Times New Roman" w:cs="Times New Roman"/>
          <w:iCs/>
          <w:sz w:val="24"/>
          <w:szCs w:val="24"/>
        </w:rPr>
      </w:pPr>
      <w:r>
        <w:rPr>
          <w:rStyle w:val="Finomkiemels"/>
        </w:rPr>
        <w:t>„A „</w:t>
      </w:r>
      <w:r w:rsidR="00A70C6D">
        <w:rPr>
          <w:rStyle w:val="Finomkiemels"/>
        </w:rPr>
        <w:t>gyűlölet-bűncselekmény</w:t>
      </w:r>
      <w:r>
        <w:rPr>
          <w:rStyle w:val="Finomkiemels"/>
        </w:rPr>
        <w:t>t” elkövető személyt nem szükségszerűen az áldozata iránti gyűlölet</w:t>
      </w:r>
      <w:r w:rsidR="0050636B">
        <w:rPr>
          <w:rStyle w:val="Finomkiemels"/>
        </w:rPr>
        <w:t xml:space="preserve"> </w:t>
      </w:r>
      <w:r>
        <w:rPr>
          <w:rStyle w:val="Finomkiemels"/>
        </w:rPr>
        <w:t>motiválja, inkább az áldozat csoporthoz való (</w:t>
      </w:r>
      <w:r w:rsidR="0050636B">
        <w:rPr>
          <w:rStyle w:val="Finomkiemels"/>
        </w:rPr>
        <w:t xml:space="preserve">valós vagy </w:t>
      </w:r>
      <w:r>
        <w:rPr>
          <w:rStyle w:val="Finomkiemels"/>
        </w:rPr>
        <w:t>feltételezett) tartozás</w:t>
      </w:r>
      <w:r w:rsidR="00A70C6D">
        <w:rPr>
          <w:rStyle w:val="Finomkiemels"/>
        </w:rPr>
        <w:t>ával szembeni</w:t>
      </w:r>
      <w:r>
        <w:rPr>
          <w:rStyle w:val="Finomkiemels"/>
        </w:rPr>
        <w:t xml:space="preserve"> előítélet vagy elfogultság kifejez</w:t>
      </w:r>
      <w:r w:rsidR="00A70C6D">
        <w:rPr>
          <w:rStyle w:val="Finomkiemels"/>
        </w:rPr>
        <w:t>ődése</w:t>
      </w:r>
      <w:r>
        <w:rPr>
          <w:rStyle w:val="Finomkiemels"/>
        </w:rPr>
        <w:t xml:space="preserve"> az, ami igazából jellemzi ezeket a bűncselekményeket</w:t>
      </w:r>
      <w:r w:rsidRPr="00A70C6D">
        <w:rPr>
          <w:rStyle w:val="Finomkiemels"/>
          <w:rFonts w:cstheme="minorHAnsi"/>
          <w:i w:val="0"/>
        </w:rPr>
        <w:t>”</w:t>
      </w:r>
      <w:r w:rsidR="00D231D8" w:rsidRPr="00A70C6D">
        <w:rPr>
          <w:rStyle w:val="Lbjegyzet-hivatkozs"/>
          <w:rFonts w:cstheme="minorHAnsi"/>
          <w:i/>
          <w:iCs/>
          <w:sz w:val="24"/>
          <w:szCs w:val="24"/>
        </w:rPr>
        <w:footnoteReference w:id="3"/>
      </w:r>
    </w:p>
    <w:p w:rsidR="00FC5E75" w:rsidRPr="003F2E6E" w:rsidRDefault="00AC4366" w:rsidP="00A9260C">
      <w:pPr>
        <w:ind w:firstLine="360"/>
        <w:jc w:val="both"/>
        <w:rPr>
          <w:rFonts w:ascii="Times New Roman" w:hAnsi="Times New Roman" w:cs="Times New Roman"/>
          <w:b/>
          <w:bCs/>
          <w:i/>
          <w:iCs/>
          <w:sz w:val="24"/>
          <w:szCs w:val="24"/>
        </w:rPr>
      </w:pPr>
      <w:r>
        <w:rPr>
          <w:rFonts w:ascii="Times New Roman" w:hAnsi="Times New Roman" w:cs="Times New Roman"/>
          <w:iCs/>
          <w:sz w:val="24"/>
          <w:szCs w:val="24"/>
        </w:rPr>
        <w:lastRenderedPageBreak/>
        <w:t>Amikor az e</w:t>
      </w:r>
      <w:r w:rsidR="00825799">
        <w:rPr>
          <w:rFonts w:ascii="Times New Roman" w:hAnsi="Times New Roman" w:cs="Times New Roman"/>
          <w:iCs/>
          <w:sz w:val="24"/>
          <w:szCs w:val="24"/>
        </w:rPr>
        <w:t>lőítélete</w:t>
      </w:r>
      <w:r w:rsidR="00386BB2">
        <w:rPr>
          <w:rFonts w:ascii="Times New Roman" w:hAnsi="Times New Roman" w:cs="Times New Roman"/>
          <w:iCs/>
          <w:sz w:val="24"/>
          <w:szCs w:val="24"/>
        </w:rPr>
        <w:t>t vizsgáljuk, az első dolog, amit meg kell jegyeznünk, az az, hogy az „el</w:t>
      </w:r>
      <w:r w:rsidR="00825799">
        <w:rPr>
          <w:rFonts w:ascii="Times New Roman" w:hAnsi="Times New Roman" w:cs="Times New Roman"/>
          <w:iCs/>
          <w:sz w:val="24"/>
          <w:szCs w:val="24"/>
        </w:rPr>
        <w:t>őítélet</w:t>
      </w:r>
      <w:r w:rsidR="00386BB2">
        <w:rPr>
          <w:rFonts w:ascii="Times New Roman" w:hAnsi="Times New Roman" w:cs="Times New Roman"/>
          <w:iCs/>
          <w:sz w:val="24"/>
          <w:szCs w:val="24"/>
        </w:rPr>
        <w:t>” nem feltétlenül azonos a „gyűlölet” lélektani állapotával. Éppen ezért a „gyűlölet-bűncselekményeket” a „gyűlölet” szóval jelölő terminológia bizonyos mértékig félrevezető. A gyakorlatban a „gyűlölet” csak az elfogultság egyik lehetséges megjelenési formája, amely</w:t>
      </w:r>
      <w:r w:rsidR="00A9260C">
        <w:rPr>
          <w:rFonts w:ascii="Times New Roman" w:hAnsi="Times New Roman" w:cs="Times New Roman"/>
          <w:iCs/>
          <w:sz w:val="24"/>
          <w:szCs w:val="24"/>
        </w:rPr>
        <w:t>re</w:t>
      </w:r>
      <w:r w:rsidR="00386BB2">
        <w:rPr>
          <w:rFonts w:ascii="Times New Roman" w:hAnsi="Times New Roman" w:cs="Times New Roman"/>
          <w:iCs/>
          <w:sz w:val="24"/>
          <w:szCs w:val="24"/>
        </w:rPr>
        <w:t xml:space="preserve">, </w:t>
      </w:r>
      <w:r w:rsidR="00A9260C">
        <w:rPr>
          <w:rFonts w:ascii="Times New Roman" w:hAnsi="Times New Roman" w:cs="Times New Roman"/>
          <w:iCs/>
          <w:sz w:val="24"/>
          <w:szCs w:val="24"/>
        </w:rPr>
        <w:t>ha</w:t>
      </w:r>
      <w:r w:rsidR="00386BB2">
        <w:rPr>
          <w:rFonts w:ascii="Times New Roman" w:hAnsi="Times New Roman" w:cs="Times New Roman"/>
          <w:iCs/>
          <w:sz w:val="24"/>
          <w:szCs w:val="24"/>
        </w:rPr>
        <w:t xml:space="preserve"> a gyűlölet-bűncselekmények</w:t>
      </w:r>
      <w:r w:rsidR="00A9260C">
        <w:rPr>
          <w:rFonts w:ascii="Times New Roman" w:hAnsi="Times New Roman" w:cs="Times New Roman"/>
          <w:iCs/>
          <w:sz w:val="24"/>
          <w:szCs w:val="24"/>
        </w:rPr>
        <w:t xml:space="preserve"> szabályozása, eljárásai és nyomozása</w:t>
      </w:r>
      <w:r w:rsidR="00386BB2">
        <w:rPr>
          <w:rFonts w:ascii="Times New Roman" w:hAnsi="Times New Roman" w:cs="Times New Roman"/>
          <w:iCs/>
          <w:sz w:val="24"/>
          <w:szCs w:val="24"/>
        </w:rPr>
        <w:t xml:space="preserve"> </w:t>
      </w:r>
      <w:r w:rsidR="00825799">
        <w:rPr>
          <w:rFonts w:ascii="Times New Roman" w:hAnsi="Times New Roman" w:cs="Times New Roman"/>
          <w:iCs/>
          <w:sz w:val="24"/>
          <w:szCs w:val="24"/>
        </w:rPr>
        <w:t>szempontjából</w:t>
      </w:r>
      <w:r w:rsidR="00386BB2">
        <w:rPr>
          <w:rFonts w:ascii="Times New Roman" w:hAnsi="Times New Roman" w:cs="Times New Roman"/>
          <w:iCs/>
          <w:sz w:val="24"/>
          <w:szCs w:val="24"/>
        </w:rPr>
        <w:t xml:space="preserve"> vizsgáljuk</w:t>
      </w:r>
      <w:r w:rsidR="00A9260C">
        <w:rPr>
          <w:rFonts w:ascii="Times New Roman" w:hAnsi="Times New Roman" w:cs="Times New Roman"/>
          <w:iCs/>
          <w:sz w:val="24"/>
          <w:szCs w:val="24"/>
        </w:rPr>
        <w:t>, úgy kell tekintenünk, mint az az</w:t>
      </w:r>
      <w:r w:rsidR="00A70C6D">
        <w:rPr>
          <w:rFonts w:ascii="Times New Roman" w:hAnsi="Times New Roman" w:cs="Times New Roman"/>
          <w:iCs/>
          <w:sz w:val="24"/>
          <w:szCs w:val="24"/>
        </w:rPr>
        <w:t>zal szembeni</w:t>
      </w:r>
      <w:r w:rsidR="00825799">
        <w:rPr>
          <w:rFonts w:ascii="Times New Roman" w:hAnsi="Times New Roman" w:cs="Times New Roman"/>
          <w:iCs/>
          <w:sz w:val="24"/>
          <w:szCs w:val="24"/>
        </w:rPr>
        <w:t xml:space="preserve"> </w:t>
      </w:r>
      <w:r w:rsidR="00A9260C" w:rsidRPr="00A9260C">
        <w:rPr>
          <w:rFonts w:ascii="Times New Roman" w:hAnsi="Times New Roman" w:cs="Times New Roman"/>
          <w:i/>
          <w:iCs/>
          <w:sz w:val="24"/>
          <w:szCs w:val="24"/>
        </w:rPr>
        <w:t xml:space="preserve">előítélet </w:t>
      </w:r>
      <w:r w:rsidR="00A9260C">
        <w:rPr>
          <w:rFonts w:ascii="Times New Roman" w:hAnsi="Times New Roman" w:cs="Times New Roman"/>
          <w:iCs/>
          <w:sz w:val="24"/>
          <w:szCs w:val="24"/>
        </w:rPr>
        <w:t xml:space="preserve">szélsőséges kifejeződését, amit az áldozat </w:t>
      </w:r>
      <w:r w:rsidR="00A9260C" w:rsidRPr="00A9260C">
        <w:rPr>
          <w:rFonts w:ascii="Times New Roman" w:hAnsi="Times New Roman" w:cs="Times New Roman"/>
          <w:i/>
          <w:iCs/>
          <w:sz w:val="24"/>
          <w:szCs w:val="24"/>
        </w:rPr>
        <w:t>képvisel</w:t>
      </w:r>
      <w:r w:rsidR="00A9260C">
        <w:rPr>
          <w:rFonts w:ascii="Times New Roman" w:hAnsi="Times New Roman" w:cs="Times New Roman"/>
          <w:iCs/>
          <w:sz w:val="24"/>
          <w:szCs w:val="24"/>
        </w:rPr>
        <w:t>, nem pedig ami ő valójában.</w:t>
      </w:r>
      <w:r w:rsidR="00D40A31" w:rsidRPr="003F2E6E">
        <w:rPr>
          <w:rStyle w:val="Lbjegyzet-hivatkozs"/>
          <w:rFonts w:ascii="Times New Roman" w:hAnsi="Times New Roman" w:cs="Times New Roman"/>
          <w:iCs/>
          <w:sz w:val="24"/>
          <w:szCs w:val="24"/>
        </w:rPr>
        <w:footnoteReference w:id="4"/>
      </w:r>
      <w:r w:rsidR="004D6C60">
        <w:rPr>
          <w:rFonts w:ascii="Times New Roman" w:hAnsi="Times New Roman" w:cs="Times New Roman"/>
          <w:iCs/>
          <w:sz w:val="24"/>
          <w:szCs w:val="24"/>
        </w:rPr>
        <w:t xml:space="preserve"> </w:t>
      </w:r>
      <w:proofErr w:type="gramStart"/>
      <w:r w:rsidR="00A9260C">
        <w:rPr>
          <w:rFonts w:ascii="Times New Roman" w:hAnsi="Times New Roman" w:cs="Times New Roman"/>
          <w:iCs/>
          <w:sz w:val="24"/>
          <w:szCs w:val="24"/>
        </w:rPr>
        <w:t xml:space="preserve">A „gyűlölet” alternatívája lehet az, amikor az elkövető társai elismerését kívánja megszerezni – </w:t>
      </w:r>
      <w:r w:rsidR="00A70C6D">
        <w:rPr>
          <w:rFonts w:ascii="Times New Roman" w:hAnsi="Times New Roman" w:cs="Times New Roman"/>
          <w:iCs/>
          <w:sz w:val="24"/>
          <w:szCs w:val="24"/>
        </w:rPr>
        <w:t>ez</w:t>
      </w:r>
      <w:r w:rsidR="00A9260C">
        <w:rPr>
          <w:rFonts w:ascii="Times New Roman" w:hAnsi="Times New Roman" w:cs="Times New Roman"/>
          <w:iCs/>
          <w:sz w:val="24"/>
          <w:szCs w:val="24"/>
        </w:rPr>
        <w:t xml:space="preserve"> könnyen lehet az érdemtelenség érzésének következménye </w:t>
      </w:r>
      <w:r w:rsidR="00774801">
        <w:rPr>
          <w:rFonts w:ascii="Times New Roman" w:hAnsi="Times New Roman" w:cs="Times New Roman"/>
          <w:iCs/>
          <w:sz w:val="24"/>
          <w:szCs w:val="24"/>
        </w:rPr>
        <w:t xml:space="preserve">– , vagy egy olyan személlyel és/vagy személyek csoportjával szemben érzett ellenséges érzelem, akik nem </w:t>
      </w:r>
      <w:r w:rsidR="00A70C6D">
        <w:rPr>
          <w:rFonts w:ascii="Times New Roman" w:hAnsi="Times New Roman" w:cs="Times New Roman"/>
          <w:iCs/>
          <w:sz w:val="24"/>
          <w:szCs w:val="24"/>
        </w:rPr>
        <w:t xml:space="preserve">ugyanahhoz a csoporthoz </w:t>
      </w:r>
      <w:r w:rsidR="00774801">
        <w:rPr>
          <w:rFonts w:ascii="Times New Roman" w:hAnsi="Times New Roman" w:cs="Times New Roman"/>
          <w:iCs/>
          <w:sz w:val="24"/>
          <w:szCs w:val="24"/>
        </w:rPr>
        <w:t xml:space="preserve">tartoznak, mint ő – </w:t>
      </w:r>
      <w:r w:rsidR="00A70C6D">
        <w:rPr>
          <w:rFonts w:ascii="Times New Roman" w:hAnsi="Times New Roman" w:cs="Times New Roman"/>
          <w:iCs/>
          <w:sz w:val="24"/>
          <w:szCs w:val="24"/>
        </w:rPr>
        <w:t>ez</w:t>
      </w:r>
      <w:r w:rsidR="00774801">
        <w:rPr>
          <w:rFonts w:ascii="Times New Roman" w:hAnsi="Times New Roman" w:cs="Times New Roman"/>
          <w:iCs/>
          <w:sz w:val="24"/>
          <w:szCs w:val="24"/>
        </w:rPr>
        <w:t>, különösen amikor az elkövető csoportja a domináns csoport, fakadhat a „tekintélyes” pozíció elvesztésének félelméből (pl. egy többséggé váló kisebbség miatt) – vagy egyszerűen csak a  célszemélyek által képviselt valamely érték vagy eszme iránti ellenséges érzések.</w:t>
      </w:r>
      <w:proofErr w:type="gramEnd"/>
      <w:r w:rsidR="003B256E" w:rsidRPr="003F2E6E">
        <w:rPr>
          <w:rFonts w:ascii="Times New Roman" w:hAnsi="Times New Roman" w:cs="Times New Roman"/>
          <w:iCs/>
          <w:sz w:val="24"/>
          <w:szCs w:val="24"/>
          <w:vertAlign w:val="superscript"/>
        </w:rPr>
        <w:footnoteReference w:id="5"/>
      </w:r>
    </w:p>
    <w:p w:rsidR="00BE5ADE" w:rsidRPr="003F2E6E" w:rsidRDefault="00774801" w:rsidP="008948A8">
      <w:pPr>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Az utóbbi jellemző példája az iszlám. A szeptember 11. utáni „terrorellenes háború” és az </w:t>
      </w:r>
      <w:proofErr w:type="spellStart"/>
      <w:r>
        <w:rPr>
          <w:rFonts w:ascii="Times New Roman" w:hAnsi="Times New Roman" w:cs="Times New Roman"/>
          <w:iCs/>
          <w:sz w:val="24"/>
          <w:szCs w:val="24"/>
        </w:rPr>
        <w:t>ISIS-hez</w:t>
      </w:r>
      <w:proofErr w:type="spellEnd"/>
      <w:r>
        <w:rPr>
          <w:rFonts w:ascii="Times New Roman" w:hAnsi="Times New Roman" w:cs="Times New Roman"/>
          <w:iCs/>
          <w:sz w:val="24"/>
          <w:szCs w:val="24"/>
        </w:rPr>
        <w:t xml:space="preserve"> hasonló szélsőséges csoportok megerősödés</w:t>
      </w:r>
      <w:r w:rsidR="00D52599">
        <w:rPr>
          <w:rFonts w:ascii="Times New Roman" w:hAnsi="Times New Roman" w:cs="Times New Roman"/>
          <w:iCs/>
          <w:sz w:val="24"/>
          <w:szCs w:val="24"/>
        </w:rPr>
        <w:t xml:space="preserve">e miatt (egyesek) elkezdtek </w:t>
      </w:r>
      <w:r w:rsidR="007E716F">
        <w:rPr>
          <w:rFonts w:ascii="Times New Roman" w:hAnsi="Times New Roman" w:cs="Times New Roman"/>
          <w:iCs/>
          <w:sz w:val="24"/>
          <w:szCs w:val="24"/>
        </w:rPr>
        <w:t xml:space="preserve">az iszlámra </w:t>
      </w:r>
      <w:r w:rsidR="00D52599">
        <w:rPr>
          <w:rFonts w:ascii="Times New Roman" w:hAnsi="Times New Roman" w:cs="Times New Roman"/>
          <w:iCs/>
          <w:sz w:val="24"/>
          <w:szCs w:val="24"/>
        </w:rPr>
        <w:t xml:space="preserve">úgy tekinteni, mint a jelenkori terrorcselekményekkel szervesen összefüggő – vagy akár azokat </w:t>
      </w:r>
      <w:r w:rsidR="007E716F">
        <w:rPr>
          <w:rFonts w:ascii="Times New Roman" w:hAnsi="Times New Roman" w:cs="Times New Roman"/>
          <w:iCs/>
          <w:sz w:val="24"/>
          <w:szCs w:val="24"/>
        </w:rPr>
        <w:t>kivált</w:t>
      </w:r>
      <w:r w:rsidR="00D52599">
        <w:rPr>
          <w:rFonts w:ascii="Times New Roman" w:hAnsi="Times New Roman" w:cs="Times New Roman"/>
          <w:iCs/>
          <w:sz w:val="24"/>
          <w:szCs w:val="24"/>
        </w:rPr>
        <w:t xml:space="preserve">ó </w:t>
      </w:r>
      <w:proofErr w:type="gramStart"/>
      <w:r w:rsidR="00D52599">
        <w:rPr>
          <w:rFonts w:ascii="Times New Roman" w:hAnsi="Times New Roman" w:cs="Times New Roman"/>
          <w:iCs/>
          <w:sz w:val="24"/>
          <w:szCs w:val="24"/>
        </w:rPr>
        <w:t>–  jelenségre</w:t>
      </w:r>
      <w:proofErr w:type="gramEnd"/>
      <w:r w:rsidR="00D52599">
        <w:rPr>
          <w:rFonts w:ascii="Times New Roman" w:hAnsi="Times New Roman" w:cs="Times New Roman"/>
          <w:iCs/>
          <w:sz w:val="24"/>
          <w:szCs w:val="24"/>
        </w:rPr>
        <w:t xml:space="preserve">. A következmény többek között egy vallási hit és </w:t>
      </w:r>
      <w:r w:rsidR="007E716F">
        <w:rPr>
          <w:rFonts w:ascii="Times New Roman" w:hAnsi="Times New Roman" w:cs="Times New Roman"/>
          <w:iCs/>
          <w:sz w:val="24"/>
          <w:szCs w:val="24"/>
        </w:rPr>
        <w:t>meggyőződés</w:t>
      </w:r>
      <w:r w:rsidR="00D52599">
        <w:rPr>
          <w:rFonts w:ascii="Times New Roman" w:hAnsi="Times New Roman" w:cs="Times New Roman"/>
          <w:iCs/>
          <w:sz w:val="24"/>
          <w:szCs w:val="24"/>
        </w:rPr>
        <w:t xml:space="preserve"> egészének </w:t>
      </w:r>
      <w:proofErr w:type="spellStart"/>
      <w:r w:rsidR="00D52599">
        <w:rPr>
          <w:rFonts w:ascii="Times New Roman" w:hAnsi="Times New Roman" w:cs="Times New Roman"/>
          <w:iCs/>
          <w:sz w:val="24"/>
          <w:szCs w:val="24"/>
        </w:rPr>
        <w:t>démonizálása</w:t>
      </w:r>
      <w:proofErr w:type="spellEnd"/>
      <w:r w:rsidR="00D52599">
        <w:rPr>
          <w:rFonts w:ascii="Times New Roman" w:hAnsi="Times New Roman" w:cs="Times New Roman"/>
          <w:iCs/>
          <w:sz w:val="24"/>
          <w:szCs w:val="24"/>
        </w:rPr>
        <w:t xml:space="preserve"> volt (egyesek által), ami messze túlmegy </w:t>
      </w:r>
      <w:r w:rsidR="007E716F">
        <w:rPr>
          <w:rFonts w:ascii="Times New Roman" w:hAnsi="Times New Roman" w:cs="Times New Roman"/>
          <w:iCs/>
          <w:sz w:val="24"/>
          <w:szCs w:val="24"/>
        </w:rPr>
        <w:t xml:space="preserve">azon, hogy valaki racionális döntés alapján elítéli </w:t>
      </w:r>
      <w:r w:rsidR="00D52599">
        <w:rPr>
          <w:rFonts w:ascii="Times New Roman" w:hAnsi="Times New Roman" w:cs="Times New Roman"/>
          <w:iCs/>
          <w:sz w:val="24"/>
          <w:szCs w:val="24"/>
        </w:rPr>
        <w:t>maguk</w:t>
      </w:r>
      <w:r w:rsidR="007E716F">
        <w:rPr>
          <w:rFonts w:ascii="Times New Roman" w:hAnsi="Times New Roman" w:cs="Times New Roman"/>
          <w:iCs/>
          <w:sz w:val="24"/>
          <w:szCs w:val="24"/>
        </w:rPr>
        <w:t>at</w:t>
      </w:r>
      <w:r w:rsidR="00D52599">
        <w:rPr>
          <w:rFonts w:ascii="Times New Roman" w:hAnsi="Times New Roman" w:cs="Times New Roman"/>
          <w:iCs/>
          <w:sz w:val="24"/>
          <w:szCs w:val="24"/>
        </w:rPr>
        <w:t xml:space="preserve"> a radikális szélsőségesek által elkövetett erőszakos cselekmények</w:t>
      </w:r>
      <w:r w:rsidR="007E716F">
        <w:rPr>
          <w:rFonts w:ascii="Times New Roman" w:hAnsi="Times New Roman" w:cs="Times New Roman"/>
          <w:iCs/>
          <w:sz w:val="24"/>
          <w:szCs w:val="24"/>
        </w:rPr>
        <w:t xml:space="preserve">et. </w:t>
      </w:r>
      <w:r w:rsidR="00365486">
        <w:rPr>
          <w:rFonts w:ascii="Times New Roman" w:hAnsi="Times New Roman" w:cs="Times New Roman"/>
          <w:iCs/>
          <w:sz w:val="24"/>
          <w:szCs w:val="24"/>
        </w:rPr>
        <w:t xml:space="preserve">Másrészt </w:t>
      </w:r>
      <w:r w:rsidR="00323C39">
        <w:rPr>
          <w:rFonts w:ascii="Times New Roman" w:hAnsi="Times New Roman" w:cs="Times New Roman"/>
          <w:iCs/>
          <w:sz w:val="24"/>
          <w:szCs w:val="24"/>
        </w:rPr>
        <w:t xml:space="preserve">ez a megalapozatlan túláltalánosítás (vagyis az a meggyőződés, hogy ha valaki muszlim, akkor </w:t>
      </w:r>
      <w:proofErr w:type="gramStart"/>
      <w:r w:rsidR="00323C39">
        <w:rPr>
          <w:rFonts w:ascii="Times New Roman" w:hAnsi="Times New Roman" w:cs="Times New Roman"/>
          <w:iCs/>
          <w:sz w:val="24"/>
          <w:szCs w:val="24"/>
        </w:rPr>
        <w:t>az</w:t>
      </w:r>
      <w:proofErr w:type="gramEnd"/>
      <w:r w:rsidR="00323C39">
        <w:rPr>
          <w:rFonts w:ascii="Times New Roman" w:hAnsi="Times New Roman" w:cs="Times New Roman"/>
          <w:iCs/>
          <w:sz w:val="24"/>
          <w:szCs w:val="24"/>
        </w:rPr>
        <w:t xml:space="preserve"> potenciális terrorista), amely miatt a nyugati társadalom bizonyos szegmenseiben elterjedt a iszlám vallású emberek iránti ellenségesség és előítélet, oda vezetett, hogy kialakult egy mintázat, amelyben minden, a nyugati világban végrehajtott terrorakciót „válaszként” a muszlimok elleni </w:t>
      </w:r>
      <w:r w:rsidR="00A70C6D">
        <w:rPr>
          <w:rFonts w:ascii="Times New Roman" w:hAnsi="Times New Roman" w:cs="Times New Roman"/>
          <w:iCs/>
          <w:sz w:val="24"/>
          <w:szCs w:val="24"/>
        </w:rPr>
        <w:t>gyűlölet-bűncselekmény</w:t>
      </w:r>
      <w:r w:rsidR="00323C39">
        <w:rPr>
          <w:rFonts w:ascii="Times New Roman" w:hAnsi="Times New Roman" w:cs="Times New Roman"/>
          <w:iCs/>
          <w:sz w:val="24"/>
          <w:szCs w:val="24"/>
        </w:rPr>
        <w:t>ek hulláma követ</w:t>
      </w:r>
      <w:r w:rsidR="002403B1" w:rsidRPr="003F2E6E">
        <w:rPr>
          <w:rFonts w:ascii="Times New Roman" w:hAnsi="Times New Roman" w:cs="Times New Roman"/>
          <w:iCs/>
          <w:sz w:val="24"/>
          <w:szCs w:val="24"/>
        </w:rPr>
        <w:t>.</w:t>
      </w:r>
      <w:r w:rsidR="00D40A31" w:rsidRPr="003F2E6E">
        <w:rPr>
          <w:rStyle w:val="Lbjegyzet-hivatkozs"/>
          <w:rFonts w:ascii="Times New Roman" w:hAnsi="Times New Roman" w:cs="Times New Roman"/>
          <w:iCs/>
          <w:sz w:val="24"/>
          <w:szCs w:val="24"/>
        </w:rPr>
        <w:footnoteReference w:id="6"/>
      </w:r>
      <w:r w:rsidR="004D6C60">
        <w:rPr>
          <w:rFonts w:ascii="Times New Roman" w:hAnsi="Times New Roman" w:cs="Times New Roman"/>
          <w:iCs/>
          <w:sz w:val="24"/>
          <w:szCs w:val="24"/>
        </w:rPr>
        <w:t xml:space="preserve"> </w:t>
      </w:r>
      <w:r w:rsidR="00323C39">
        <w:rPr>
          <w:rFonts w:ascii="Times New Roman" w:hAnsi="Times New Roman" w:cs="Times New Roman"/>
          <w:iCs/>
          <w:sz w:val="24"/>
          <w:szCs w:val="24"/>
        </w:rPr>
        <w:t xml:space="preserve">Furcsa módon ez világít </w:t>
      </w:r>
      <w:r w:rsidR="00C22EC4">
        <w:rPr>
          <w:rFonts w:ascii="Times New Roman" w:hAnsi="Times New Roman" w:cs="Times New Roman"/>
          <w:iCs/>
          <w:sz w:val="24"/>
          <w:szCs w:val="24"/>
        </w:rPr>
        <w:t xml:space="preserve">rá a kapcsolatra egy eszmével (jelen esetben vallásos eszmével) szembeni gyűlölet vagy ellenségesség érzelmi állapota és a bosszú (mármint a terroristatámadásokban megölt emberek nevében történő bosszú) </w:t>
      </w:r>
      <w:r w:rsidR="000C29F0" w:rsidRPr="00A70C6D">
        <w:rPr>
          <w:rFonts w:ascii="Times New Roman" w:hAnsi="Times New Roman" w:cs="Times New Roman"/>
          <w:iCs/>
          <w:sz w:val="24"/>
          <w:szCs w:val="24"/>
        </w:rPr>
        <w:t>megalapozatlan</w:t>
      </w:r>
      <w:r w:rsidR="00C22EC4" w:rsidRPr="00A70C6D">
        <w:rPr>
          <w:rFonts w:ascii="Times New Roman" w:hAnsi="Times New Roman" w:cs="Times New Roman"/>
          <w:iCs/>
          <w:sz w:val="24"/>
          <w:szCs w:val="24"/>
        </w:rPr>
        <w:t xml:space="preserve"> érzése</w:t>
      </w:r>
      <w:r w:rsidR="00C22EC4">
        <w:rPr>
          <w:rFonts w:ascii="Times New Roman" w:hAnsi="Times New Roman" w:cs="Times New Roman"/>
          <w:iCs/>
          <w:sz w:val="24"/>
          <w:szCs w:val="24"/>
        </w:rPr>
        <w:t xml:space="preserve"> között, </w:t>
      </w:r>
      <w:r w:rsidR="002C0140">
        <w:rPr>
          <w:rFonts w:ascii="Times New Roman" w:hAnsi="Times New Roman" w:cs="Times New Roman"/>
          <w:iCs/>
          <w:sz w:val="24"/>
          <w:szCs w:val="24"/>
        </w:rPr>
        <w:t>ami révén könnyen előfordulhat, hogy az elkövető tettének elsődleges motivációja az a meggyőződés lesz, hogy ő vállalja magára a társadalom önkéntes védelmezőjének szerepét. Ez az „önkéntesség” természetesen nem korlátozódik az iszlámellenes gyűlöltre, ahogyan azt az alábbi példa is tanúsítja</w:t>
      </w:r>
      <w:r w:rsidR="00E0712A" w:rsidRPr="003F2E6E">
        <w:rPr>
          <w:rFonts w:ascii="Times New Roman" w:hAnsi="Times New Roman" w:cs="Times New Roman"/>
          <w:iCs/>
          <w:sz w:val="24"/>
          <w:szCs w:val="24"/>
        </w:rPr>
        <w:t>:</w:t>
      </w:r>
    </w:p>
    <w:p w:rsidR="005878B9" w:rsidRPr="003F2E6E" w:rsidRDefault="005878B9" w:rsidP="008948A8">
      <w:pPr>
        <w:ind w:firstLine="720"/>
        <w:jc w:val="both"/>
        <w:rPr>
          <w:rFonts w:ascii="Times New Roman" w:hAnsi="Times New Roman" w:cs="Times New Roman"/>
          <w:iCs/>
          <w:sz w:val="24"/>
          <w:szCs w:val="24"/>
        </w:rPr>
      </w:pPr>
    </w:p>
    <w:tbl>
      <w:tblPr>
        <w:tblStyle w:val="MediumGrid1-Accent51"/>
        <w:tblW w:w="0" w:type="auto"/>
        <w:tblLook w:val="04A0" w:firstRow="1" w:lastRow="0" w:firstColumn="1" w:lastColumn="0" w:noHBand="0" w:noVBand="1"/>
      </w:tblPr>
      <w:tblGrid>
        <w:gridCol w:w="8440"/>
      </w:tblGrid>
      <w:tr w:rsidR="00C11153" w:rsidRPr="00A53671" w:rsidTr="00C111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0" w:type="dxa"/>
          </w:tcPr>
          <w:p w:rsidR="00C11153" w:rsidRPr="00A53671" w:rsidRDefault="002C0140" w:rsidP="00156CE2">
            <w:pPr>
              <w:jc w:val="both"/>
              <w:rPr>
                <w:rFonts w:ascii="Verdana" w:eastAsia="MS Mincho" w:hAnsi="Verdana" w:cs="Times New Roman"/>
                <w:b w:val="0"/>
                <w:color w:val="943634"/>
                <w:sz w:val="19"/>
                <w:szCs w:val="19"/>
                <w:lang w:val="hu-HU"/>
              </w:rPr>
            </w:pPr>
            <w:r w:rsidRPr="00A53671">
              <w:rPr>
                <w:rFonts w:ascii="Verdana" w:eastAsia="MS Mincho" w:hAnsi="Verdana" w:cs="Times New Roman"/>
                <w:b w:val="0"/>
                <w:color w:val="943634"/>
                <w:sz w:val="19"/>
                <w:szCs w:val="19"/>
                <w:lang w:val="hu-HU"/>
              </w:rPr>
              <w:t>Emberi Jogok Európai Bírósága</w:t>
            </w:r>
            <w:r w:rsidR="00C11153" w:rsidRPr="00A53671">
              <w:rPr>
                <w:rFonts w:ascii="Verdana" w:eastAsia="MS Mincho" w:hAnsi="Verdana" w:cs="Times New Roman"/>
                <w:b w:val="0"/>
                <w:color w:val="943634"/>
                <w:sz w:val="19"/>
                <w:szCs w:val="19"/>
                <w:lang w:val="hu-HU"/>
              </w:rPr>
              <w:t xml:space="preserve">, </w:t>
            </w:r>
            <w:r w:rsidR="00C11153" w:rsidRPr="00A53671">
              <w:rPr>
                <w:rFonts w:ascii="Verdana" w:eastAsia="MS Mincho" w:hAnsi="Verdana" w:cs="Times New Roman"/>
                <w:b w:val="0"/>
                <w:iCs/>
                <w:color w:val="943634"/>
                <w:sz w:val="19"/>
                <w:szCs w:val="19"/>
                <w:lang w:val="hu-HU"/>
              </w:rPr>
              <w:t xml:space="preserve">Király </w:t>
            </w:r>
            <w:r w:rsidRPr="00A53671">
              <w:rPr>
                <w:rFonts w:ascii="Verdana" w:eastAsia="MS Mincho" w:hAnsi="Verdana" w:cs="Times New Roman"/>
                <w:b w:val="0"/>
                <w:iCs/>
                <w:color w:val="943634"/>
                <w:sz w:val="19"/>
                <w:szCs w:val="19"/>
                <w:lang w:val="hu-HU"/>
              </w:rPr>
              <w:t>és</w:t>
            </w:r>
            <w:r w:rsidR="00C11153" w:rsidRPr="00A53671">
              <w:rPr>
                <w:rFonts w:ascii="Verdana" w:eastAsia="MS Mincho" w:hAnsi="Verdana" w:cs="Times New Roman"/>
                <w:b w:val="0"/>
                <w:iCs/>
                <w:color w:val="943634"/>
                <w:sz w:val="19"/>
                <w:szCs w:val="19"/>
                <w:lang w:val="hu-HU"/>
              </w:rPr>
              <w:t xml:space="preserve"> Dömötör </w:t>
            </w:r>
            <w:r w:rsidRPr="00A53671">
              <w:rPr>
                <w:rFonts w:ascii="Verdana" w:eastAsia="MS Mincho" w:hAnsi="Verdana" w:cs="Times New Roman"/>
                <w:b w:val="0"/>
                <w:iCs/>
                <w:color w:val="943634"/>
                <w:sz w:val="19"/>
                <w:szCs w:val="19"/>
                <w:lang w:val="hu-HU"/>
              </w:rPr>
              <w:t>kontra</w:t>
            </w:r>
            <w:r w:rsidR="004D6C60">
              <w:rPr>
                <w:rFonts w:ascii="Verdana" w:eastAsia="MS Mincho" w:hAnsi="Verdana" w:cs="Times New Roman"/>
                <w:b w:val="0"/>
                <w:iCs/>
                <w:color w:val="943634"/>
                <w:sz w:val="19"/>
                <w:szCs w:val="19"/>
                <w:lang w:val="hu-HU"/>
              </w:rPr>
              <w:t xml:space="preserve"> </w:t>
            </w:r>
            <w:r w:rsidRPr="00A53671">
              <w:rPr>
                <w:rFonts w:ascii="Verdana" w:eastAsia="MS Mincho" w:hAnsi="Verdana" w:cs="Times New Roman"/>
                <w:b w:val="0"/>
                <w:iCs/>
                <w:color w:val="943634"/>
                <w:sz w:val="19"/>
                <w:szCs w:val="19"/>
                <w:lang w:val="hu-HU"/>
              </w:rPr>
              <w:t>Magyarország</w:t>
            </w:r>
            <w:r w:rsidR="00C11153" w:rsidRPr="00A53671">
              <w:rPr>
                <w:rFonts w:ascii="Verdana" w:eastAsia="MS Mincho" w:hAnsi="Verdana" w:cs="Times New Roman"/>
                <w:b w:val="0"/>
                <w:color w:val="943634"/>
                <w:sz w:val="19"/>
                <w:szCs w:val="19"/>
                <w:lang w:val="hu-HU"/>
              </w:rPr>
              <w:t xml:space="preserve">, </w:t>
            </w:r>
            <w:r w:rsidR="00C11153" w:rsidRPr="00A53671">
              <w:rPr>
                <w:rFonts w:ascii="Verdana" w:eastAsia="MS Mincho" w:hAnsi="Verdana" w:cs="Times New Roman"/>
                <w:b w:val="0"/>
                <w:i/>
                <w:iCs/>
                <w:color w:val="943634"/>
                <w:sz w:val="19"/>
                <w:szCs w:val="19"/>
                <w:lang w:val="hu-HU"/>
              </w:rPr>
              <w:t>63409/11</w:t>
            </w:r>
            <w:r w:rsidRPr="00A53671">
              <w:rPr>
                <w:rFonts w:ascii="Verdana" w:eastAsia="MS Mincho" w:hAnsi="Verdana" w:cs="Times New Roman"/>
                <w:b w:val="0"/>
                <w:iCs/>
                <w:color w:val="943634"/>
                <w:sz w:val="19"/>
                <w:szCs w:val="19"/>
                <w:lang w:val="hu-HU"/>
              </w:rPr>
              <w:t>sz. kérelem</w:t>
            </w:r>
            <w:r w:rsidR="00C11153" w:rsidRPr="00A53671">
              <w:rPr>
                <w:rFonts w:ascii="Verdana" w:eastAsia="MS Mincho" w:hAnsi="Verdana" w:cs="Times New Roman"/>
                <w:b w:val="0"/>
                <w:iCs/>
                <w:color w:val="943634"/>
                <w:sz w:val="19"/>
                <w:szCs w:val="19"/>
                <w:lang w:val="hu-HU"/>
              </w:rPr>
              <w:t>, 2017</w:t>
            </w:r>
            <w:r w:rsidRPr="00A53671">
              <w:rPr>
                <w:rFonts w:ascii="Verdana" w:eastAsia="MS Mincho" w:hAnsi="Verdana" w:cs="Times New Roman"/>
                <w:b w:val="0"/>
                <w:iCs/>
                <w:color w:val="943634"/>
                <w:sz w:val="19"/>
                <w:szCs w:val="19"/>
                <w:lang w:val="hu-HU"/>
              </w:rPr>
              <w:t>. január 17-én kelt ítélet</w:t>
            </w:r>
            <w:hyperlink r:id="rId10" w:history="1">
              <w:r w:rsidR="00C11153" w:rsidRPr="00A53671">
                <w:rPr>
                  <w:rStyle w:val="Hiperhivatkozs"/>
                  <w:rFonts w:ascii="Verdana" w:eastAsia="MS Mincho" w:hAnsi="Verdana" w:cs="Times New Roman"/>
                  <w:b w:val="0"/>
                  <w:iCs/>
                  <w:sz w:val="19"/>
                  <w:szCs w:val="19"/>
                  <w:lang w:val="hu-HU"/>
                </w:rPr>
                <w:t>link</w:t>
              </w:r>
            </w:hyperlink>
          </w:p>
          <w:p w:rsidR="00C11153" w:rsidRPr="00A53671" w:rsidRDefault="00C11153" w:rsidP="00156CE2">
            <w:pPr>
              <w:contextualSpacing/>
              <w:jc w:val="both"/>
              <w:rPr>
                <w:rFonts w:ascii="Verdana" w:eastAsia="MS Mincho" w:hAnsi="Verdana" w:cs="Times New Roman"/>
                <w:b w:val="0"/>
                <w:sz w:val="18"/>
                <w:szCs w:val="18"/>
                <w:u w:val="single"/>
                <w:lang w:val="hu-HU"/>
              </w:rPr>
            </w:pPr>
          </w:p>
          <w:p w:rsidR="0098336A" w:rsidRPr="00A53671" w:rsidRDefault="002C0140" w:rsidP="00564C19">
            <w:pPr>
              <w:contextualSpacing/>
              <w:jc w:val="both"/>
              <w:rPr>
                <w:rFonts w:ascii="Verdana" w:eastAsia="MS Mincho" w:hAnsi="Verdana" w:cs="Times New Roman"/>
                <w:i/>
                <w:sz w:val="18"/>
                <w:szCs w:val="18"/>
                <w:lang w:val="hu-HU"/>
              </w:rPr>
            </w:pPr>
            <w:r w:rsidRPr="00A53671">
              <w:rPr>
                <w:rFonts w:ascii="Verdana" w:eastAsia="MS Mincho" w:hAnsi="Verdana" w:cs="Times New Roman"/>
                <w:sz w:val="18"/>
                <w:szCs w:val="18"/>
                <w:u w:val="single"/>
                <w:lang w:val="hu-HU"/>
              </w:rPr>
              <w:lastRenderedPageBreak/>
              <w:t>Tényállás</w:t>
            </w:r>
            <w:r w:rsidR="00C11153" w:rsidRPr="00A53671">
              <w:rPr>
                <w:rFonts w:ascii="Verdana" w:eastAsia="MS Mincho" w:hAnsi="Verdana" w:cs="Times New Roman"/>
                <w:sz w:val="18"/>
                <w:szCs w:val="18"/>
                <w:lang w:val="hu-HU"/>
              </w:rPr>
              <w:t xml:space="preserve">: </w:t>
            </w:r>
            <w:r w:rsidRPr="00A53671">
              <w:rPr>
                <w:rFonts w:ascii="Verdana" w:eastAsia="MS Mincho" w:hAnsi="Verdana" w:cs="Times New Roman"/>
                <w:b w:val="0"/>
                <w:sz w:val="18"/>
                <w:szCs w:val="18"/>
                <w:lang w:val="hu-HU"/>
              </w:rPr>
              <w:t xml:space="preserve">Az ügyben </w:t>
            </w:r>
            <w:r w:rsidR="008F20CE" w:rsidRPr="00A53671">
              <w:rPr>
                <w:rFonts w:ascii="Verdana" w:eastAsia="MS Mincho" w:hAnsi="Verdana" w:cs="Times New Roman"/>
                <w:b w:val="0"/>
                <w:sz w:val="18"/>
                <w:szCs w:val="18"/>
                <w:lang w:val="hu-HU"/>
              </w:rPr>
              <w:t>két roma származás</w:t>
            </w:r>
            <w:r w:rsidR="006B177D">
              <w:rPr>
                <w:rFonts w:ascii="Verdana" w:eastAsia="MS Mincho" w:hAnsi="Verdana" w:cs="Times New Roman"/>
                <w:b w:val="0"/>
                <w:sz w:val="18"/>
                <w:szCs w:val="18"/>
                <w:lang w:val="hu-HU"/>
              </w:rPr>
              <w:t>ú</w:t>
            </w:r>
            <w:r w:rsidR="008F20CE" w:rsidRPr="00A53671">
              <w:rPr>
                <w:rFonts w:ascii="Verdana" w:eastAsia="MS Mincho" w:hAnsi="Verdana" w:cs="Times New Roman"/>
                <w:b w:val="0"/>
                <w:sz w:val="18"/>
                <w:szCs w:val="18"/>
                <w:lang w:val="hu-HU"/>
              </w:rPr>
              <w:t xml:space="preserve"> magyar állampolgár érintett, akik azt állították, hogy a rendőrség nem védte meg őket a rasszista visszaélésekkel szemben egy romaellenes tüntetés során, és nem vizsgálta ki megfelelően az esetet. A demonstráción kilenc militáns viselkedéséről és romaellenes álláspontjáról ismert szélsőjobboldali csoport vett részt. Ennek a ténynek </w:t>
            </w:r>
            <w:r w:rsidR="00616662" w:rsidRPr="00A53671">
              <w:rPr>
                <w:rFonts w:ascii="Verdana" w:eastAsia="MS Mincho" w:hAnsi="Verdana" w:cs="Times New Roman"/>
                <w:b w:val="0"/>
                <w:sz w:val="18"/>
                <w:szCs w:val="18"/>
                <w:lang w:val="hu-HU"/>
              </w:rPr>
              <w:t>fel kellet</w:t>
            </w:r>
            <w:r w:rsidR="005364B3">
              <w:rPr>
                <w:rFonts w:ascii="Verdana" w:eastAsia="MS Mincho" w:hAnsi="Verdana" w:cs="Times New Roman"/>
                <w:b w:val="0"/>
                <w:sz w:val="18"/>
                <w:szCs w:val="18"/>
                <w:lang w:val="hu-HU"/>
              </w:rPr>
              <w:t>t</w:t>
            </w:r>
            <w:r w:rsidR="00616662" w:rsidRPr="00A53671">
              <w:rPr>
                <w:rFonts w:ascii="Verdana" w:eastAsia="MS Mincho" w:hAnsi="Verdana" w:cs="Times New Roman"/>
                <w:b w:val="0"/>
                <w:sz w:val="18"/>
                <w:szCs w:val="18"/>
                <w:lang w:val="hu-HU"/>
              </w:rPr>
              <w:t xml:space="preserve"> volna hívnia a rendőrség figyelmét </w:t>
            </w:r>
            <w:r w:rsidR="0098336A" w:rsidRPr="00A53671">
              <w:rPr>
                <w:rFonts w:ascii="Verdana" w:eastAsia="MS Mincho" w:hAnsi="Verdana" w:cs="Times New Roman"/>
                <w:b w:val="0"/>
                <w:sz w:val="18"/>
                <w:szCs w:val="18"/>
                <w:lang w:val="hu-HU"/>
              </w:rPr>
              <w:t xml:space="preserve">az erőszak magas kockázatára. Ráadásul a demonstráció során a vezérszónok </w:t>
            </w:r>
            <w:r w:rsidR="0098336A" w:rsidRPr="00A53671">
              <w:rPr>
                <w:rFonts w:ascii="Verdana" w:eastAsia="MS Mincho" w:hAnsi="Verdana" w:cs="Times New Roman"/>
                <w:i/>
                <w:sz w:val="18"/>
                <w:szCs w:val="18"/>
                <w:lang w:val="hu-HU"/>
              </w:rPr>
              <w:t xml:space="preserve">„felszólította a tüntetőket, hogy söpörjék ki a „szemetet” az országból, hogy lázadjanak föl és kergessék el a </w:t>
            </w:r>
            <w:r w:rsidR="00DF01EE" w:rsidRPr="00A53671">
              <w:rPr>
                <w:rFonts w:ascii="Verdana" w:eastAsia="MS Mincho" w:hAnsi="Verdana" w:cs="Times New Roman"/>
                <w:i/>
                <w:sz w:val="18"/>
                <w:szCs w:val="18"/>
                <w:lang w:val="hu-HU"/>
              </w:rPr>
              <w:t>magyarokat</w:t>
            </w:r>
            <w:r w:rsidR="0098336A" w:rsidRPr="00A53671">
              <w:rPr>
                <w:rFonts w:ascii="Verdana" w:eastAsia="MS Mincho" w:hAnsi="Verdana" w:cs="Times New Roman"/>
                <w:i/>
                <w:sz w:val="18"/>
                <w:szCs w:val="18"/>
                <w:lang w:val="hu-HU"/>
              </w:rPr>
              <w:t xml:space="preserve"> elnyomó hazaáruló bűnöző csoportokat</w:t>
            </w:r>
            <w:r w:rsidR="005364B3">
              <w:rPr>
                <w:rFonts w:ascii="Verdana" w:eastAsia="MS Mincho" w:hAnsi="Verdana" w:cs="Times New Roman"/>
                <w:i/>
                <w:sz w:val="18"/>
                <w:szCs w:val="18"/>
                <w:lang w:val="hu-HU"/>
              </w:rPr>
              <w:t>"</w:t>
            </w:r>
            <w:r w:rsidR="0098336A" w:rsidRPr="00A53671">
              <w:rPr>
                <w:rFonts w:ascii="Verdana" w:eastAsia="MS Mincho" w:hAnsi="Verdana" w:cs="Times New Roman"/>
                <w:i/>
                <w:sz w:val="18"/>
                <w:szCs w:val="18"/>
                <w:lang w:val="hu-HU"/>
              </w:rPr>
              <w:t>.</w:t>
            </w:r>
            <w:r w:rsidR="0098336A" w:rsidRPr="00A53671">
              <w:rPr>
                <w:rFonts w:ascii="Verdana" w:eastAsia="MS Mincho" w:hAnsi="Verdana" w:cs="Times New Roman"/>
                <w:b w:val="0"/>
                <w:i/>
                <w:sz w:val="18"/>
                <w:szCs w:val="18"/>
                <w:lang w:val="hu-HU"/>
              </w:rPr>
              <w:t xml:space="preserve"> Beszédét azzal zárta, hogy </w:t>
            </w:r>
            <w:r w:rsidR="0098336A" w:rsidRPr="00A53671">
              <w:rPr>
                <w:rFonts w:ascii="Verdana" w:eastAsia="MS Mincho" w:hAnsi="Verdana" w:cs="Times New Roman"/>
                <w:i/>
                <w:sz w:val="18"/>
                <w:szCs w:val="18"/>
                <w:lang w:val="hu-HU"/>
              </w:rPr>
              <w:t>„a magyaroknak joguk van minden eszközt felhasználni ezeknek a céloknak az elérésére… megemlítette, hogy a roma kisebbség genetikailag kódolva van a bűnözői viselkedésre, és kijelentette, hogy a romákat csak erőszakkal lehet kezelni</w:t>
            </w:r>
            <w:r w:rsidR="00DF01EE" w:rsidRPr="00A53671">
              <w:rPr>
                <w:rFonts w:ascii="Verdana" w:eastAsia="MS Mincho" w:hAnsi="Verdana" w:cs="Times New Roman"/>
                <w:i/>
                <w:sz w:val="18"/>
                <w:szCs w:val="18"/>
                <w:lang w:val="hu-HU"/>
              </w:rPr>
              <w:t>, hogy eltapossuk azt a jelenséget, amit ki kell irtani.”</w:t>
            </w:r>
          </w:p>
          <w:p w:rsidR="008477FC" w:rsidRPr="00A53671" w:rsidRDefault="008477FC" w:rsidP="00564C19">
            <w:pPr>
              <w:contextualSpacing/>
              <w:jc w:val="both"/>
              <w:rPr>
                <w:rFonts w:ascii="Verdana" w:eastAsia="MS Mincho" w:hAnsi="Verdana" w:cs="Times New Roman"/>
                <w:i/>
                <w:sz w:val="18"/>
                <w:szCs w:val="18"/>
                <w:lang w:val="hu-HU"/>
              </w:rPr>
            </w:pPr>
          </w:p>
          <w:p w:rsidR="008477FC" w:rsidRPr="00A53671" w:rsidRDefault="008477FC" w:rsidP="00156CE2">
            <w:pPr>
              <w:contextualSpacing/>
              <w:jc w:val="both"/>
              <w:rPr>
                <w:rFonts w:ascii="Verdana" w:eastAsia="MS Mincho" w:hAnsi="Verdana" w:cs="Times New Roman"/>
                <w:b w:val="0"/>
                <w:sz w:val="18"/>
                <w:szCs w:val="18"/>
                <w:lang w:val="hu-HU"/>
              </w:rPr>
            </w:pPr>
          </w:p>
          <w:p w:rsidR="00DF01EE" w:rsidRPr="00A53671" w:rsidRDefault="00DF01EE" w:rsidP="00156CE2">
            <w:pPr>
              <w:contextualSpacing/>
              <w:jc w:val="both"/>
              <w:rPr>
                <w:rFonts w:ascii="Verdana" w:eastAsia="MS Mincho" w:hAnsi="Verdana" w:cs="Times New Roman"/>
                <w:bCs w:val="0"/>
                <w:sz w:val="18"/>
                <w:szCs w:val="18"/>
                <w:lang w:val="hu-HU"/>
              </w:rPr>
            </w:pPr>
            <w:r w:rsidRPr="00A53671">
              <w:rPr>
                <w:rFonts w:ascii="Verdana" w:eastAsia="MS Mincho" w:hAnsi="Verdana" w:cs="Times New Roman"/>
                <w:sz w:val="18"/>
                <w:szCs w:val="18"/>
                <w:u w:val="single"/>
                <w:lang w:val="hu-HU"/>
              </w:rPr>
              <w:t>Megjegyzések</w:t>
            </w:r>
            <w:proofErr w:type="gramStart"/>
            <w:r w:rsidR="00156CE2" w:rsidRPr="00A53671">
              <w:rPr>
                <w:rFonts w:ascii="Verdana" w:eastAsia="MS Mincho" w:hAnsi="Verdana" w:cs="Times New Roman"/>
                <w:sz w:val="18"/>
                <w:szCs w:val="18"/>
                <w:lang w:val="hu-HU"/>
              </w:rPr>
              <w:t>:</w:t>
            </w:r>
            <w:r w:rsidRPr="00A53671">
              <w:rPr>
                <w:rFonts w:ascii="Verdana" w:eastAsia="MS Mincho" w:hAnsi="Verdana" w:cs="Times New Roman"/>
                <w:b w:val="0"/>
                <w:sz w:val="18"/>
                <w:szCs w:val="18"/>
                <w:lang w:val="hu-HU"/>
              </w:rPr>
              <w:t>Ez</w:t>
            </w:r>
            <w:proofErr w:type="gramEnd"/>
            <w:r w:rsidRPr="00A53671">
              <w:rPr>
                <w:rFonts w:ascii="Verdana" w:eastAsia="MS Mincho" w:hAnsi="Verdana" w:cs="Times New Roman"/>
                <w:b w:val="0"/>
                <w:sz w:val="18"/>
                <w:szCs w:val="18"/>
                <w:lang w:val="hu-HU"/>
              </w:rPr>
              <w:t xml:space="preserve"> az eset jellemző példája a fentiekben említett „önkéntes” attitűdnek, amely időnként a </w:t>
            </w:r>
            <w:r w:rsidR="00A70C6D">
              <w:rPr>
                <w:rFonts w:ascii="Verdana" w:eastAsia="MS Mincho" w:hAnsi="Verdana" w:cs="Times New Roman"/>
                <w:b w:val="0"/>
                <w:sz w:val="18"/>
                <w:szCs w:val="18"/>
                <w:lang w:val="hu-HU"/>
              </w:rPr>
              <w:t>gyűlölet-bűncselekmény</w:t>
            </w:r>
            <w:r w:rsidRPr="00A53671">
              <w:rPr>
                <w:rFonts w:ascii="Verdana" w:eastAsia="MS Mincho" w:hAnsi="Verdana" w:cs="Times New Roman"/>
                <w:b w:val="0"/>
                <w:sz w:val="18"/>
                <w:szCs w:val="18"/>
                <w:lang w:val="hu-HU"/>
              </w:rPr>
              <w:t xml:space="preserve">ek mögött meghúzódik, és tökéletes példa arra, hogy a bűncselekmények mely </w:t>
            </w:r>
            <w:r w:rsidR="005364B3">
              <w:rPr>
                <w:rFonts w:ascii="Verdana" w:eastAsia="MS Mincho" w:hAnsi="Verdana" w:cs="Times New Roman"/>
                <w:b w:val="0"/>
                <w:sz w:val="18"/>
                <w:szCs w:val="18"/>
                <w:lang w:val="hu-HU"/>
              </w:rPr>
              <w:t>körülményeit</w:t>
            </w:r>
            <w:r w:rsidRPr="00A53671">
              <w:rPr>
                <w:rFonts w:ascii="Verdana" w:eastAsia="MS Mincho" w:hAnsi="Verdana" w:cs="Times New Roman"/>
                <w:b w:val="0"/>
                <w:sz w:val="18"/>
                <w:szCs w:val="18"/>
                <w:lang w:val="hu-HU"/>
              </w:rPr>
              <w:t xml:space="preserve"> kell megvizsgálni a gyűlölet-bűncselekmények feltárása érdekében. Ebben a példában a félreérthetetlenül rasszista beszéd, az etnikai kisebbség elleni erőszakra való felhívás, a szélsőjobboldali csoportok részvétele a tüntetésen és a helyszín megválasztása (egy romák által lakott környék) mind magáért beszél a bűncselekmény természetét illetően. </w:t>
            </w:r>
            <w:r w:rsidR="006F37EA" w:rsidRPr="00A53671">
              <w:rPr>
                <w:rFonts w:ascii="Verdana" w:eastAsia="MS Mincho" w:hAnsi="Verdana" w:cs="Times New Roman"/>
                <w:b w:val="0"/>
                <w:sz w:val="18"/>
                <w:szCs w:val="18"/>
                <w:lang w:val="hu-HU"/>
              </w:rPr>
              <w:t>A hasonló esetekben figyelembe vehető egyéb elemek lehetnek az elkövetők által esetlegesen viselt (pl. náci) szimbólumok, vagy a korábbi etnikai feszültségek, amelyek megtorláshoz vezethetnek.</w:t>
            </w:r>
          </w:p>
          <w:p w:rsidR="00C11153" w:rsidRPr="00A53671" w:rsidRDefault="00C11153" w:rsidP="00156CE2">
            <w:pPr>
              <w:contextualSpacing/>
              <w:jc w:val="both"/>
              <w:rPr>
                <w:rFonts w:ascii="Verdana" w:eastAsia="MS Mincho" w:hAnsi="Verdana" w:cs="Times New Roman"/>
                <w:b w:val="0"/>
                <w:sz w:val="18"/>
                <w:szCs w:val="18"/>
                <w:u w:val="single"/>
                <w:lang w:val="hu-HU"/>
              </w:rPr>
            </w:pPr>
          </w:p>
          <w:p w:rsidR="00573DC0" w:rsidRPr="00A53671" w:rsidRDefault="006F37EA" w:rsidP="00156CE2">
            <w:pPr>
              <w:contextualSpacing/>
              <w:jc w:val="both"/>
              <w:rPr>
                <w:rFonts w:ascii="Verdana" w:eastAsia="MS Mincho" w:hAnsi="Verdana" w:cs="Times New Roman"/>
                <w:bCs w:val="0"/>
                <w:sz w:val="18"/>
                <w:szCs w:val="18"/>
                <w:lang w:val="hu-HU"/>
              </w:rPr>
            </w:pPr>
            <w:r w:rsidRPr="00A53671">
              <w:rPr>
                <w:rFonts w:ascii="Verdana" w:eastAsia="MS Mincho" w:hAnsi="Verdana" w:cs="Times New Roman"/>
                <w:sz w:val="18"/>
                <w:szCs w:val="18"/>
                <w:u w:val="single"/>
                <w:lang w:val="hu-HU"/>
              </w:rPr>
              <w:t>Elemzés</w:t>
            </w:r>
            <w:r w:rsidR="00C11153" w:rsidRPr="00A53671">
              <w:rPr>
                <w:rFonts w:ascii="Verdana" w:eastAsia="MS Mincho" w:hAnsi="Verdana" w:cs="Times New Roman"/>
                <w:sz w:val="18"/>
                <w:szCs w:val="18"/>
                <w:lang w:val="hu-HU"/>
              </w:rPr>
              <w:t xml:space="preserve">: </w:t>
            </w:r>
            <w:r w:rsidRPr="00A53671">
              <w:rPr>
                <w:rFonts w:ascii="Verdana" w:eastAsia="MS Mincho" w:hAnsi="Verdana" w:cs="Times New Roman"/>
                <w:b w:val="0"/>
                <w:sz w:val="18"/>
                <w:szCs w:val="18"/>
                <w:lang w:val="hu-HU"/>
              </w:rPr>
              <w:t xml:space="preserve">A Bíróság úgy ítélte meg, hogy a hatóságok az eseményt csak korlátozottan vizsgálták ki. Pontosabban az egyik vizsgálat, amely a demonstráció során elhangzó beszédekkel foglalkozott, nem vette figyelembe a </w:t>
            </w:r>
            <w:r w:rsidR="005364B3">
              <w:rPr>
                <w:rFonts w:ascii="Verdana" w:eastAsia="MS Mincho" w:hAnsi="Verdana" w:cs="Times New Roman"/>
                <w:b w:val="0"/>
                <w:sz w:val="18"/>
                <w:szCs w:val="18"/>
                <w:lang w:val="hu-HU"/>
              </w:rPr>
              <w:t>beszéde</w:t>
            </w:r>
            <w:r w:rsidRPr="00A53671">
              <w:rPr>
                <w:rFonts w:ascii="Verdana" w:eastAsia="MS Mincho" w:hAnsi="Verdana" w:cs="Times New Roman"/>
                <w:b w:val="0"/>
                <w:sz w:val="18"/>
                <w:szCs w:val="18"/>
                <w:lang w:val="hu-HU"/>
              </w:rPr>
              <w:t>k sajátos kontextusát, a másik pedig, amely a csoport elleni erőszak vétségével foglalkozott</w:t>
            </w:r>
            <w:r w:rsidR="005364B3">
              <w:rPr>
                <w:rFonts w:ascii="Verdana" w:eastAsia="MS Mincho" w:hAnsi="Verdana" w:cs="Times New Roman"/>
                <w:b w:val="0"/>
                <w:sz w:val="18"/>
                <w:szCs w:val="18"/>
                <w:lang w:val="hu-HU"/>
              </w:rPr>
              <w:t>,</w:t>
            </w:r>
            <w:r w:rsidRPr="00A53671">
              <w:rPr>
                <w:rFonts w:ascii="Verdana" w:eastAsia="MS Mincho" w:hAnsi="Verdana" w:cs="Times New Roman"/>
                <w:b w:val="0"/>
                <w:sz w:val="18"/>
                <w:szCs w:val="18"/>
                <w:lang w:val="hu-HU"/>
              </w:rPr>
              <w:t xml:space="preserve"> lassú volt</w:t>
            </w:r>
            <w:r w:rsidR="005364B3">
              <w:rPr>
                <w:rFonts w:ascii="Verdana" w:eastAsia="MS Mincho" w:hAnsi="Verdana" w:cs="Times New Roman"/>
                <w:b w:val="0"/>
                <w:sz w:val="18"/>
                <w:szCs w:val="18"/>
                <w:lang w:val="hu-HU"/>
              </w:rPr>
              <w:t>,</w:t>
            </w:r>
            <w:r w:rsidRPr="00A53671">
              <w:rPr>
                <w:rFonts w:ascii="Verdana" w:eastAsia="MS Mincho" w:hAnsi="Verdana" w:cs="Times New Roman"/>
                <w:b w:val="0"/>
                <w:sz w:val="18"/>
                <w:szCs w:val="18"/>
                <w:lang w:val="hu-HU"/>
              </w:rPr>
              <w:t xml:space="preserve"> és kizárólag a fizikai erőszakra korlátozódott. A vizsgálatok ezért nem fedték fel az események valódi</w:t>
            </w:r>
            <w:r w:rsidR="00573DC0" w:rsidRPr="00A53671">
              <w:rPr>
                <w:rFonts w:ascii="Verdana" w:eastAsia="MS Mincho" w:hAnsi="Verdana" w:cs="Times New Roman"/>
                <w:b w:val="0"/>
                <w:sz w:val="18"/>
                <w:szCs w:val="18"/>
                <w:lang w:val="hu-HU"/>
              </w:rPr>
              <w:t xml:space="preserve"> és összetett </w:t>
            </w:r>
            <w:r w:rsidR="006B177D">
              <w:rPr>
                <w:rFonts w:ascii="Verdana" w:eastAsia="MS Mincho" w:hAnsi="Verdana" w:cs="Times New Roman"/>
                <w:b w:val="0"/>
                <w:sz w:val="18"/>
                <w:szCs w:val="18"/>
                <w:lang w:val="hu-HU"/>
              </w:rPr>
              <w:t>természetét</w:t>
            </w:r>
            <w:r w:rsidR="00573DC0" w:rsidRPr="00A53671">
              <w:rPr>
                <w:rFonts w:ascii="Verdana" w:eastAsia="MS Mincho" w:hAnsi="Verdana" w:cs="Times New Roman"/>
                <w:b w:val="0"/>
                <w:sz w:val="18"/>
                <w:szCs w:val="18"/>
                <w:lang w:val="hu-HU"/>
              </w:rPr>
              <w:t>. E hiányosságok együttes hatása azt eredményezte, hogy egy nyíltan rasszista demonstráció, amely során elszórtan erőszakos cselekmények is előfordultak, gyakorlatilag jogi következmények nélkül maradt</w:t>
            </w:r>
            <w:r w:rsidR="005364B3">
              <w:rPr>
                <w:rFonts w:ascii="Verdana" w:eastAsia="MS Mincho" w:hAnsi="Verdana" w:cs="Times New Roman"/>
                <w:b w:val="0"/>
                <w:sz w:val="18"/>
                <w:szCs w:val="18"/>
                <w:lang w:val="hu-HU"/>
              </w:rPr>
              <w:t>, egyetlen elkövető felelősségre vonását kivéve</w:t>
            </w:r>
            <w:r w:rsidR="00573DC0" w:rsidRPr="00A53671">
              <w:rPr>
                <w:rFonts w:ascii="Verdana" w:eastAsia="MS Mincho" w:hAnsi="Verdana" w:cs="Times New Roman"/>
                <w:b w:val="0"/>
                <w:sz w:val="18"/>
                <w:szCs w:val="18"/>
                <w:lang w:val="hu-HU"/>
              </w:rPr>
              <w:t xml:space="preserve">. Ráadásul a kérelmezők lelki épségét sem védték meg hatékonyan egy olyan jelenség ellen, ami nem kevesebbé, mint a roma közösség </w:t>
            </w:r>
            <w:r w:rsidR="00F9063A" w:rsidRPr="00A53671">
              <w:rPr>
                <w:rFonts w:ascii="Verdana" w:eastAsia="MS Mincho" w:hAnsi="Verdana" w:cs="Times New Roman"/>
                <w:b w:val="0"/>
                <w:sz w:val="18"/>
                <w:szCs w:val="18"/>
                <w:lang w:val="hu-HU"/>
              </w:rPr>
              <w:t xml:space="preserve">félkatonai jellegű felvonulásokkal, szóbeli fenyegetésekkel és faji alapú szegregációval történő </w:t>
            </w:r>
            <w:r w:rsidR="00573DC0" w:rsidRPr="00A53671">
              <w:rPr>
                <w:rFonts w:ascii="Verdana" w:eastAsia="MS Mincho" w:hAnsi="Verdana" w:cs="Times New Roman"/>
                <w:b w:val="0"/>
                <w:sz w:val="18"/>
                <w:szCs w:val="18"/>
                <w:lang w:val="hu-HU"/>
              </w:rPr>
              <w:t xml:space="preserve">szervezett megfélemlítésévé </w:t>
            </w:r>
            <w:r w:rsidR="00F9063A" w:rsidRPr="00A53671">
              <w:rPr>
                <w:rFonts w:ascii="Verdana" w:eastAsia="MS Mincho" w:hAnsi="Verdana" w:cs="Times New Roman"/>
                <w:b w:val="0"/>
                <w:sz w:val="18"/>
                <w:szCs w:val="18"/>
                <w:lang w:val="hu-HU"/>
              </w:rPr>
              <w:t xml:space="preserve">nőtte ki magát. </w:t>
            </w:r>
            <w:r w:rsidR="00F9063A" w:rsidRPr="00A53671">
              <w:rPr>
                <w:rFonts w:ascii="Verdana" w:eastAsia="MS Mincho" w:hAnsi="Verdana" w:cs="Times New Roman"/>
                <w:sz w:val="18"/>
                <w:szCs w:val="18"/>
                <w:lang w:val="hu-HU"/>
              </w:rPr>
              <w:t>A Bíróság aggodalmának adott hangot, hogy ezt a nyilvánosság úgy értékelheti, mintha az állam legitimálná és/vagy tolerálná az ilyen viselkedésformákat.</w:t>
            </w:r>
          </w:p>
          <w:p w:rsidR="00C11153" w:rsidRPr="00A53671" w:rsidRDefault="00C11153" w:rsidP="00156CE2">
            <w:pPr>
              <w:contextualSpacing/>
              <w:jc w:val="both"/>
              <w:rPr>
                <w:rFonts w:ascii="Verdana" w:eastAsia="MS Mincho" w:hAnsi="Verdana" w:cs="Times New Roman"/>
                <w:b w:val="0"/>
                <w:sz w:val="18"/>
                <w:szCs w:val="18"/>
                <w:lang w:val="hu-HU"/>
              </w:rPr>
            </w:pPr>
          </w:p>
          <w:p w:rsidR="00DD01B2" w:rsidRPr="00A53671" w:rsidRDefault="00C11153" w:rsidP="008A5719">
            <w:pPr>
              <w:pStyle w:val="Listaszerbekezds"/>
              <w:jc w:val="both"/>
              <w:rPr>
                <w:rFonts w:ascii="Verdana" w:eastAsia="MS Mincho" w:hAnsi="Verdana" w:cs="Times New Roman"/>
                <w:bCs w:val="0"/>
                <w:i/>
                <w:sz w:val="18"/>
                <w:szCs w:val="18"/>
                <w:lang w:val="hu-HU"/>
              </w:rPr>
            </w:pPr>
            <w:r w:rsidRPr="00A53671">
              <w:rPr>
                <w:rFonts w:ascii="Verdana" w:eastAsia="MS Mincho" w:hAnsi="Verdana" w:cs="Times New Roman"/>
                <w:b w:val="0"/>
                <w:i/>
                <w:sz w:val="18"/>
                <w:szCs w:val="18"/>
                <w:u w:val="single"/>
                <w:lang w:val="hu-HU"/>
              </w:rPr>
              <w:t>64</w:t>
            </w:r>
            <w:r w:rsidR="00F9063A" w:rsidRPr="00A53671">
              <w:rPr>
                <w:rFonts w:ascii="Verdana" w:eastAsia="MS Mincho" w:hAnsi="Verdana" w:cs="Times New Roman"/>
                <w:b w:val="0"/>
                <w:i/>
                <w:sz w:val="18"/>
                <w:szCs w:val="18"/>
                <w:u w:val="single"/>
                <w:lang w:val="hu-HU"/>
              </w:rPr>
              <w:t>. bekezdés</w:t>
            </w:r>
            <w:r w:rsidRPr="00A53671">
              <w:rPr>
                <w:rFonts w:ascii="Verdana" w:eastAsia="MS Mincho" w:hAnsi="Verdana" w:cs="Times New Roman"/>
                <w:b w:val="0"/>
                <w:i/>
                <w:sz w:val="18"/>
                <w:szCs w:val="18"/>
                <w:lang w:val="hu-HU"/>
              </w:rPr>
              <w:t xml:space="preserve">: </w:t>
            </w:r>
            <w:r w:rsidR="00F9063A" w:rsidRPr="00A53671">
              <w:rPr>
                <w:rFonts w:ascii="Verdana" w:eastAsia="MS Mincho" w:hAnsi="Verdana" w:cs="Times New Roman"/>
                <w:b w:val="0"/>
                <w:i/>
                <w:sz w:val="18"/>
                <w:szCs w:val="18"/>
                <w:lang w:val="hu-HU"/>
              </w:rPr>
              <w:t xml:space="preserve">Ami </w:t>
            </w:r>
            <w:r w:rsidR="008F5EA7">
              <w:rPr>
                <w:rFonts w:ascii="Verdana" w:eastAsia="MS Mincho" w:hAnsi="Verdana" w:cs="Times New Roman"/>
                <w:b w:val="0"/>
                <w:i/>
                <w:sz w:val="18"/>
                <w:szCs w:val="18"/>
                <w:lang w:val="hu-HU"/>
              </w:rPr>
              <w:t xml:space="preserve">a </w:t>
            </w:r>
            <w:r w:rsidR="00F9063A" w:rsidRPr="00A53671">
              <w:rPr>
                <w:rFonts w:ascii="Verdana" w:eastAsia="MS Mincho" w:hAnsi="Verdana" w:cs="Times New Roman"/>
                <w:b w:val="0"/>
                <w:i/>
                <w:sz w:val="18"/>
                <w:szCs w:val="18"/>
                <w:lang w:val="hu-HU"/>
              </w:rPr>
              <w:t>rendőrség</w:t>
            </w:r>
            <w:r w:rsidR="008F5EA7">
              <w:rPr>
                <w:rFonts w:ascii="Verdana" w:eastAsia="MS Mincho" w:hAnsi="Verdana" w:cs="Times New Roman"/>
                <w:b w:val="0"/>
                <w:i/>
                <w:sz w:val="18"/>
                <w:szCs w:val="18"/>
                <w:lang w:val="hu-HU"/>
              </w:rPr>
              <w:t>nek a</w:t>
            </w:r>
            <w:r w:rsidR="00F9063A" w:rsidRPr="00A53671">
              <w:rPr>
                <w:rFonts w:ascii="Verdana" w:eastAsia="MS Mincho" w:hAnsi="Verdana" w:cs="Times New Roman"/>
                <w:b w:val="0"/>
                <w:i/>
                <w:sz w:val="18"/>
                <w:szCs w:val="18"/>
                <w:lang w:val="hu-HU"/>
              </w:rPr>
              <w:t xml:space="preserve"> későbbiekben a Közigazgatási és Munkaügyi Bíróság és a Kúria által is fel</w:t>
            </w:r>
            <w:r w:rsidR="00AC686F" w:rsidRPr="00A53671">
              <w:rPr>
                <w:rFonts w:ascii="Verdana" w:eastAsia="MS Mincho" w:hAnsi="Verdana" w:cs="Times New Roman"/>
                <w:b w:val="0"/>
                <w:i/>
                <w:sz w:val="18"/>
                <w:szCs w:val="18"/>
                <w:lang w:val="hu-HU"/>
              </w:rPr>
              <w:t>ülvizsgált döntését ille</w:t>
            </w:r>
            <w:r w:rsidR="00CB5CE6" w:rsidRPr="00A53671">
              <w:rPr>
                <w:rFonts w:ascii="Verdana" w:eastAsia="MS Mincho" w:hAnsi="Verdana" w:cs="Times New Roman"/>
                <w:b w:val="0"/>
                <w:i/>
                <w:sz w:val="18"/>
                <w:szCs w:val="18"/>
                <w:lang w:val="hu-HU"/>
              </w:rPr>
              <w:t xml:space="preserve">ti, </w:t>
            </w:r>
            <w:r w:rsidR="006B177D">
              <w:rPr>
                <w:rFonts w:ascii="Verdana" w:eastAsia="MS Mincho" w:hAnsi="Verdana" w:cs="Times New Roman"/>
                <w:b w:val="0"/>
                <w:i/>
                <w:sz w:val="18"/>
                <w:szCs w:val="18"/>
                <w:lang w:val="hu-HU"/>
              </w:rPr>
              <w:t>mely szerint</w:t>
            </w:r>
            <w:r w:rsidR="00CB5CE6" w:rsidRPr="00A53671">
              <w:rPr>
                <w:rFonts w:ascii="Verdana" w:eastAsia="MS Mincho" w:hAnsi="Verdana" w:cs="Times New Roman"/>
                <w:b w:val="0"/>
                <w:i/>
                <w:sz w:val="18"/>
                <w:szCs w:val="18"/>
                <w:lang w:val="hu-HU"/>
              </w:rPr>
              <w:t xml:space="preserve"> nem oszlatják fel a </w:t>
            </w:r>
            <w:r w:rsidR="00DD01B2" w:rsidRPr="00A53671">
              <w:rPr>
                <w:rFonts w:ascii="Verdana" w:eastAsia="MS Mincho" w:hAnsi="Verdana" w:cs="Times New Roman"/>
                <w:b w:val="0"/>
                <w:i/>
                <w:sz w:val="18"/>
                <w:szCs w:val="18"/>
                <w:lang w:val="hu-HU"/>
              </w:rPr>
              <w:t xml:space="preserve">demonstrációt, jelen Bíróság korábban már elfogadta, hogy bizonyos helyzetekben a nemzeti hatóságoknak kötelességük lehet </w:t>
            </w:r>
            <w:r w:rsidR="006B177D">
              <w:rPr>
                <w:rFonts w:ascii="Verdana" w:eastAsia="MS Mincho" w:hAnsi="Verdana" w:cs="Times New Roman"/>
                <w:b w:val="0"/>
                <w:i/>
                <w:sz w:val="18"/>
                <w:szCs w:val="18"/>
                <w:lang w:val="hu-HU"/>
              </w:rPr>
              <w:t xml:space="preserve">lépéseket tenni </w:t>
            </w:r>
            <w:r w:rsidR="00DD01B2" w:rsidRPr="00A53671">
              <w:rPr>
                <w:rFonts w:ascii="Verdana" w:eastAsia="MS Mincho" w:hAnsi="Verdana" w:cs="Times New Roman"/>
                <w:b w:val="0"/>
                <w:i/>
                <w:sz w:val="18"/>
                <w:szCs w:val="18"/>
                <w:lang w:val="hu-HU"/>
              </w:rPr>
              <w:t>az erőszakos és nyilvánvalóan intoleráns demonstrációk</w:t>
            </w:r>
            <w:r w:rsidR="006B177D">
              <w:rPr>
                <w:rFonts w:ascii="Verdana" w:eastAsia="MS Mincho" w:hAnsi="Verdana" w:cs="Times New Roman"/>
                <w:b w:val="0"/>
                <w:i/>
                <w:sz w:val="18"/>
                <w:szCs w:val="18"/>
                <w:lang w:val="hu-HU"/>
              </w:rPr>
              <w:t xml:space="preserve"> feloszlatására</w:t>
            </w:r>
            <w:r w:rsidR="00DD01B2" w:rsidRPr="00A53671">
              <w:rPr>
                <w:rFonts w:ascii="Verdana" w:eastAsia="MS Mincho" w:hAnsi="Verdana" w:cs="Times New Roman"/>
                <w:b w:val="0"/>
                <w:i/>
                <w:sz w:val="18"/>
                <w:szCs w:val="18"/>
                <w:lang w:val="hu-HU"/>
              </w:rPr>
              <w:t xml:space="preserve"> az egyének 8. cikk szerinti magánéletének védelmében (lásd R</w:t>
            </w:r>
            <w:proofErr w:type="gramStart"/>
            <w:r w:rsidR="00DD01B2" w:rsidRPr="00A53671">
              <w:rPr>
                <w:rFonts w:ascii="Verdana" w:eastAsia="MS Mincho" w:hAnsi="Verdana" w:cs="Times New Roman"/>
                <w:b w:val="0"/>
                <w:i/>
                <w:sz w:val="18"/>
                <w:szCs w:val="18"/>
                <w:lang w:val="hu-HU"/>
              </w:rPr>
              <w:t>.B.</w:t>
            </w:r>
            <w:proofErr w:type="gramEnd"/>
            <w:r w:rsidR="00DD01B2" w:rsidRPr="00A53671">
              <w:rPr>
                <w:rFonts w:ascii="Verdana" w:eastAsia="MS Mincho" w:hAnsi="Verdana" w:cs="Times New Roman"/>
                <w:b w:val="0"/>
                <w:i/>
                <w:sz w:val="18"/>
                <w:szCs w:val="18"/>
                <w:lang w:val="hu-HU"/>
              </w:rPr>
              <w:t xml:space="preserve"> kontra Magyarország, 99. bekezdés). A demonstrációk feloszlatásának nemzeti gyakorlatát megvizsgálva</w:t>
            </w:r>
            <w:r w:rsidR="00516239" w:rsidRPr="00A53671">
              <w:rPr>
                <w:rFonts w:ascii="Verdana" w:eastAsia="MS Mincho" w:hAnsi="Verdana" w:cs="Times New Roman"/>
                <w:b w:val="0"/>
                <w:i/>
                <w:sz w:val="18"/>
                <w:szCs w:val="18"/>
                <w:lang w:val="hu-HU"/>
              </w:rPr>
              <w:t>, úgy tűnik, hogy a rendőrségnek hasonlóképpen kötelessége feloszlatni egy gyűlést, ha a gyülekezési jog gyakorlása bűncselekményt vagy bűncselekmény elkövetésére való felhívást valósít meg</w:t>
            </w:r>
            <w:r w:rsidR="008F5EA7">
              <w:rPr>
                <w:rFonts w:ascii="Verdana" w:eastAsia="MS Mincho" w:hAnsi="Verdana" w:cs="Times New Roman"/>
                <w:b w:val="0"/>
                <w:i/>
                <w:sz w:val="18"/>
                <w:szCs w:val="18"/>
                <w:lang w:val="hu-HU"/>
              </w:rPr>
              <w:t>,</w:t>
            </w:r>
            <w:r w:rsidR="00516239" w:rsidRPr="00A53671">
              <w:rPr>
                <w:rFonts w:ascii="Verdana" w:eastAsia="MS Mincho" w:hAnsi="Verdana" w:cs="Times New Roman"/>
                <w:b w:val="0"/>
                <w:i/>
                <w:sz w:val="18"/>
                <w:szCs w:val="18"/>
                <w:lang w:val="hu-HU"/>
              </w:rPr>
              <w:t xml:space="preserve"> vagy megsérti mások jogait és szabadságait, ahogyan az Alkotmánybíróság ítélete mutatja (lásd a 35. bekezdést).</w:t>
            </w:r>
          </w:p>
          <w:p w:rsidR="00516239" w:rsidRPr="00A53671" w:rsidRDefault="00516239" w:rsidP="008A5719">
            <w:pPr>
              <w:pStyle w:val="Listaszerbekezds"/>
              <w:jc w:val="both"/>
              <w:rPr>
                <w:rFonts w:ascii="Verdana" w:eastAsia="MS Mincho" w:hAnsi="Verdana" w:cs="Times New Roman"/>
                <w:bCs w:val="0"/>
                <w:i/>
                <w:sz w:val="18"/>
                <w:szCs w:val="18"/>
                <w:lang w:val="hu-HU"/>
              </w:rPr>
            </w:pPr>
          </w:p>
          <w:p w:rsidR="00516239" w:rsidRPr="00A53671" w:rsidRDefault="00C11153" w:rsidP="008A5719">
            <w:pPr>
              <w:pStyle w:val="Listaszerbekezds"/>
              <w:jc w:val="both"/>
              <w:rPr>
                <w:rFonts w:ascii="Verdana" w:eastAsia="MS Mincho" w:hAnsi="Verdana" w:cs="Times New Roman"/>
                <w:bCs w:val="0"/>
                <w:sz w:val="18"/>
                <w:szCs w:val="18"/>
                <w:lang w:val="hu-HU"/>
              </w:rPr>
            </w:pPr>
            <w:r w:rsidRPr="00A53671">
              <w:rPr>
                <w:rFonts w:ascii="Verdana" w:eastAsia="MS Mincho" w:hAnsi="Verdana" w:cs="Times New Roman"/>
                <w:b w:val="0"/>
                <w:i/>
                <w:sz w:val="18"/>
                <w:szCs w:val="18"/>
                <w:u w:val="single"/>
                <w:lang w:val="hu-HU"/>
              </w:rPr>
              <w:t>77</w:t>
            </w:r>
            <w:r w:rsidR="00516239" w:rsidRPr="00A53671">
              <w:rPr>
                <w:rFonts w:ascii="Verdana" w:eastAsia="MS Mincho" w:hAnsi="Verdana" w:cs="Times New Roman"/>
                <w:b w:val="0"/>
                <w:i/>
                <w:sz w:val="18"/>
                <w:szCs w:val="18"/>
                <w:u w:val="single"/>
                <w:lang w:val="hu-HU"/>
              </w:rPr>
              <w:t>. bekezdés</w:t>
            </w:r>
            <w:proofErr w:type="gramStart"/>
            <w:r w:rsidRPr="00A53671">
              <w:rPr>
                <w:rFonts w:ascii="Verdana" w:eastAsia="MS Mincho" w:hAnsi="Verdana" w:cs="Times New Roman"/>
                <w:b w:val="0"/>
                <w:i/>
                <w:sz w:val="18"/>
                <w:szCs w:val="18"/>
                <w:lang w:val="hu-HU"/>
              </w:rPr>
              <w:t>:</w:t>
            </w:r>
            <w:r w:rsidR="00516239" w:rsidRPr="00A53671">
              <w:rPr>
                <w:rFonts w:ascii="Verdana" w:eastAsia="MS Mincho" w:hAnsi="Verdana" w:cs="Times New Roman"/>
                <w:b w:val="0"/>
                <w:sz w:val="18"/>
                <w:szCs w:val="18"/>
                <w:lang w:val="hu-HU"/>
              </w:rPr>
              <w:t>Ráadásul</w:t>
            </w:r>
            <w:proofErr w:type="gramEnd"/>
            <w:r w:rsidR="00516239" w:rsidRPr="00A53671">
              <w:rPr>
                <w:rFonts w:ascii="Verdana" w:eastAsia="MS Mincho" w:hAnsi="Verdana" w:cs="Times New Roman"/>
                <w:b w:val="0"/>
                <w:sz w:val="18"/>
                <w:szCs w:val="18"/>
                <w:lang w:val="hu-HU"/>
              </w:rPr>
              <w:t xml:space="preserve"> </w:t>
            </w:r>
            <w:r w:rsidR="00516239" w:rsidRPr="00A53671">
              <w:rPr>
                <w:rFonts w:ascii="Verdana" w:eastAsia="MS Mincho" w:hAnsi="Verdana" w:cs="Times New Roman"/>
                <w:sz w:val="18"/>
                <w:szCs w:val="18"/>
                <w:lang w:val="hu-HU"/>
              </w:rPr>
              <w:t>az eseményt olyan időszakban szervezték, amikor a nagy csoportban történő felvonulások és a roma kisebbség célkeresztbe állítása olyan mértéket öltött, ami már „nagyarányú, szervezett megfélemlítésnek” minősülhet</w:t>
            </w:r>
            <w:r w:rsidR="008F5EA7">
              <w:rPr>
                <w:rFonts w:ascii="Verdana" w:eastAsia="MS Mincho" w:hAnsi="Verdana" w:cs="Times New Roman"/>
                <w:sz w:val="18"/>
                <w:szCs w:val="18"/>
                <w:lang w:val="hu-HU"/>
              </w:rPr>
              <w:t>.</w:t>
            </w:r>
            <w:r w:rsidR="00516239" w:rsidRPr="00A53671">
              <w:rPr>
                <w:rFonts w:ascii="Verdana" w:eastAsia="MS Mincho" w:hAnsi="Verdana" w:cs="Times New Roman"/>
                <w:b w:val="0"/>
                <w:sz w:val="18"/>
                <w:szCs w:val="18"/>
                <w:lang w:val="hu-HU"/>
              </w:rPr>
              <w:t xml:space="preserve"> (lásd Vona, mint fent, 69.</w:t>
            </w:r>
            <w:r w:rsidR="00516239" w:rsidRPr="00A53671">
              <w:rPr>
                <w:rFonts w:ascii="Verdana" w:eastAsia="MS Mincho" w:hAnsi="Verdana" w:cs="Times New Roman"/>
                <w:b w:val="0"/>
                <w:bCs w:val="0"/>
                <w:sz w:val="18"/>
                <w:szCs w:val="18"/>
                <w:lang w:val="hu-HU"/>
              </w:rPr>
              <w:t>bekezdés)</w:t>
            </w:r>
          </w:p>
          <w:p w:rsidR="00C11153" w:rsidRPr="00A53671" w:rsidRDefault="00C11153" w:rsidP="00156CE2">
            <w:pPr>
              <w:pStyle w:val="Listaszerbekezds"/>
              <w:jc w:val="both"/>
              <w:rPr>
                <w:rFonts w:ascii="Verdana" w:eastAsia="MS Mincho" w:hAnsi="Verdana" w:cs="Times New Roman"/>
                <w:b w:val="0"/>
                <w:i/>
                <w:sz w:val="18"/>
                <w:szCs w:val="18"/>
                <w:u w:val="single"/>
                <w:lang w:val="hu-HU"/>
              </w:rPr>
            </w:pPr>
          </w:p>
          <w:p w:rsidR="00C11153" w:rsidRPr="00A53671" w:rsidRDefault="00C11153" w:rsidP="00DA64A6">
            <w:pPr>
              <w:pStyle w:val="Listaszerbekezds"/>
              <w:jc w:val="both"/>
              <w:rPr>
                <w:rFonts w:ascii="Verdana" w:eastAsia="MS Mincho" w:hAnsi="Verdana" w:cs="Times New Roman"/>
                <w:b w:val="0"/>
                <w:i/>
                <w:sz w:val="18"/>
                <w:szCs w:val="18"/>
                <w:lang w:val="hu-HU"/>
              </w:rPr>
            </w:pPr>
            <w:r w:rsidRPr="00A53671">
              <w:rPr>
                <w:rFonts w:ascii="Verdana" w:eastAsia="MS Mincho" w:hAnsi="Verdana" w:cs="Times New Roman"/>
                <w:b w:val="0"/>
                <w:i/>
                <w:sz w:val="18"/>
                <w:szCs w:val="18"/>
                <w:u w:val="single"/>
                <w:lang w:val="hu-HU"/>
              </w:rPr>
              <w:t>78</w:t>
            </w:r>
            <w:r w:rsidR="00516239" w:rsidRPr="00A53671">
              <w:rPr>
                <w:rFonts w:ascii="Verdana" w:eastAsia="MS Mincho" w:hAnsi="Verdana" w:cs="Times New Roman"/>
                <w:b w:val="0"/>
                <w:i/>
                <w:sz w:val="18"/>
                <w:szCs w:val="18"/>
                <w:u w:val="single"/>
                <w:lang w:val="hu-HU"/>
              </w:rPr>
              <w:t>. bekezdés</w:t>
            </w:r>
            <w:r w:rsidRPr="00A53671">
              <w:rPr>
                <w:rFonts w:ascii="Verdana" w:eastAsia="MS Mincho" w:hAnsi="Verdana" w:cs="Times New Roman"/>
                <w:b w:val="0"/>
                <w:i/>
                <w:sz w:val="18"/>
                <w:szCs w:val="18"/>
                <w:lang w:val="hu-HU"/>
              </w:rPr>
              <w:t xml:space="preserve">: </w:t>
            </w:r>
            <w:r w:rsidR="00516239" w:rsidRPr="00A53671">
              <w:rPr>
                <w:rFonts w:ascii="Verdana" w:eastAsia="MS Mincho" w:hAnsi="Verdana" w:cs="Times New Roman"/>
                <w:b w:val="0"/>
                <w:i/>
                <w:sz w:val="18"/>
                <w:szCs w:val="18"/>
                <w:lang w:val="hu-HU"/>
              </w:rPr>
              <w:t xml:space="preserve">A Bíróság szerint ezek releváns szempontok voltak, amelyeket figyelembe kellett volna venni a beszédek természetének értékelésekor. Ez annál is inkább igaz, mivel a nemzeti bíróságok ítélkezési gyakorlata szerint a rasszista kijelentések elhangzásuk körülményeivel </w:t>
            </w:r>
            <w:r w:rsidR="00DA64A6" w:rsidRPr="00A53671">
              <w:rPr>
                <w:rFonts w:ascii="Verdana" w:eastAsia="MS Mincho" w:hAnsi="Verdana" w:cs="Times New Roman"/>
                <w:b w:val="0"/>
                <w:i/>
                <w:sz w:val="18"/>
                <w:szCs w:val="18"/>
                <w:lang w:val="hu-HU"/>
              </w:rPr>
              <w:t xml:space="preserve">együttesen megvalósíthatják az erőszak és mások jogai megsértésének egyértelmű és fenyegető kockázatát (lásd 36. bekezdés). Úgy tűnik azonban, hogy a </w:t>
            </w:r>
            <w:r w:rsidR="00324C9F">
              <w:rPr>
                <w:rFonts w:ascii="Verdana" w:eastAsia="MS Mincho" w:hAnsi="Verdana" w:cs="Times New Roman"/>
                <w:b w:val="0"/>
                <w:i/>
                <w:sz w:val="18"/>
                <w:szCs w:val="18"/>
                <w:lang w:val="hu-HU"/>
              </w:rPr>
              <w:t>nyomozást</w:t>
            </w:r>
            <w:r w:rsidR="00DA64A6" w:rsidRPr="00A53671">
              <w:rPr>
                <w:rFonts w:ascii="Verdana" w:eastAsia="MS Mincho" w:hAnsi="Verdana" w:cs="Times New Roman"/>
                <w:b w:val="0"/>
                <w:i/>
                <w:sz w:val="18"/>
                <w:szCs w:val="18"/>
                <w:lang w:val="hu-HU"/>
              </w:rPr>
              <w:t xml:space="preserve"> végző hatóságok nem vették </w:t>
            </w:r>
            <w:r w:rsidR="00DA64A6" w:rsidRPr="00A53671">
              <w:rPr>
                <w:rFonts w:ascii="Verdana" w:eastAsia="MS Mincho" w:hAnsi="Verdana" w:cs="Times New Roman"/>
                <w:b w:val="0"/>
                <w:i/>
                <w:sz w:val="18"/>
                <w:szCs w:val="18"/>
                <w:lang w:val="hu-HU"/>
              </w:rPr>
              <w:lastRenderedPageBreak/>
              <w:t>figyelembe ezeket az elemeket, amikor úgy döntöttek, hogy a kijelentések gyűlöletkeltő és becsmérlő jellegűek voltak ugyan, de nem bujtottak erőszakra. Ezzel a nemzeti hatóságok érthetetlen módon leszűkítették a saját nyomozásuk hatókörét</w:t>
            </w:r>
            <w:r w:rsidRPr="00A53671">
              <w:rPr>
                <w:rFonts w:ascii="Verdana" w:eastAsia="MS Mincho" w:hAnsi="Verdana" w:cs="Times New Roman"/>
                <w:b w:val="0"/>
                <w:i/>
                <w:sz w:val="18"/>
                <w:szCs w:val="18"/>
                <w:lang w:val="hu-HU"/>
              </w:rPr>
              <w:t>.</w:t>
            </w:r>
          </w:p>
          <w:p w:rsidR="00C11153" w:rsidRPr="00A53671" w:rsidRDefault="00C11153" w:rsidP="00156CE2">
            <w:pPr>
              <w:pStyle w:val="Listaszerbekezds"/>
              <w:jc w:val="both"/>
              <w:rPr>
                <w:rFonts w:ascii="Verdana" w:eastAsia="MS Mincho" w:hAnsi="Verdana" w:cs="Times New Roman"/>
                <w:b w:val="0"/>
                <w:i/>
                <w:sz w:val="18"/>
                <w:szCs w:val="18"/>
                <w:u w:val="single"/>
                <w:lang w:val="hu-HU"/>
              </w:rPr>
            </w:pPr>
          </w:p>
          <w:p w:rsidR="00C11153" w:rsidRPr="00A53671" w:rsidRDefault="00C11153" w:rsidP="003F6CF5">
            <w:pPr>
              <w:pStyle w:val="Listaszerbekezds"/>
              <w:jc w:val="both"/>
              <w:rPr>
                <w:rFonts w:ascii="Verdana" w:eastAsia="MS Mincho" w:hAnsi="Verdana" w:cs="Times New Roman"/>
                <w:b w:val="0"/>
                <w:i/>
                <w:sz w:val="18"/>
                <w:szCs w:val="18"/>
                <w:lang w:val="hu-HU"/>
              </w:rPr>
            </w:pPr>
            <w:r w:rsidRPr="00A53671">
              <w:rPr>
                <w:rFonts w:ascii="Verdana" w:eastAsia="MS Mincho" w:hAnsi="Verdana" w:cs="Times New Roman"/>
                <w:b w:val="0"/>
                <w:i/>
                <w:sz w:val="18"/>
                <w:szCs w:val="18"/>
                <w:u w:val="single"/>
                <w:lang w:val="hu-HU"/>
              </w:rPr>
              <w:t>79</w:t>
            </w:r>
            <w:r w:rsidR="00DA64A6" w:rsidRPr="00A53671">
              <w:rPr>
                <w:rFonts w:ascii="Verdana" w:eastAsia="MS Mincho" w:hAnsi="Verdana" w:cs="Times New Roman"/>
                <w:b w:val="0"/>
                <w:i/>
                <w:sz w:val="18"/>
                <w:szCs w:val="18"/>
                <w:u w:val="single"/>
                <w:lang w:val="hu-HU"/>
              </w:rPr>
              <w:t>. bekezdés</w:t>
            </w:r>
            <w:r w:rsidRPr="00A53671">
              <w:rPr>
                <w:rFonts w:ascii="Verdana" w:eastAsia="MS Mincho" w:hAnsi="Verdana" w:cs="Times New Roman"/>
                <w:b w:val="0"/>
                <w:i/>
                <w:sz w:val="18"/>
                <w:szCs w:val="18"/>
                <w:lang w:val="hu-HU"/>
              </w:rPr>
              <w:t xml:space="preserve">: </w:t>
            </w:r>
            <w:r w:rsidR="00DA64A6" w:rsidRPr="00A53671">
              <w:rPr>
                <w:rFonts w:ascii="Verdana" w:eastAsia="MS Mincho" w:hAnsi="Verdana" w:cs="Times New Roman"/>
                <w:b w:val="0"/>
                <w:i/>
                <w:sz w:val="18"/>
                <w:szCs w:val="18"/>
                <w:lang w:val="hu-HU"/>
              </w:rPr>
              <w:t xml:space="preserve">Ami a </w:t>
            </w:r>
            <w:r w:rsidR="00324C9F">
              <w:rPr>
                <w:rFonts w:ascii="Verdana" w:eastAsia="MS Mincho" w:hAnsi="Verdana" w:cs="Times New Roman"/>
                <w:b w:val="0"/>
                <w:i/>
                <w:sz w:val="18"/>
                <w:szCs w:val="18"/>
                <w:lang w:val="hu-HU"/>
              </w:rPr>
              <w:t>közösség</w:t>
            </w:r>
            <w:r w:rsidR="00DA64A6" w:rsidRPr="00A53671">
              <w:rPr>
                <w:rFonts w:ascii="Verdana" w:eastAsia="MS Mincho" w:hAnsi="Verdana" w:cs="Times New Roman"/>
                <w:b w:val="0"/>
                <w:i/>
                <w:sz w:val="18"/>
                <w:szCs w:val="18"/>
                <w:lang w:val="hu-HU"/>
              </w:rPr>
              <w:t xml:space="preserve"> tagja elleni erősza</w:t>
            </w:r>
            <w:r w:rsidR="006B177D">
              <w:rPr>
                <w:rFonts w:ascii="Verdana" w:eastAsia="MS Mincho" w:hAnsi="Verdana" w:cs="Times New Roman"/>
                <w:b w:val="0"/>
                <w:i/>
                <w:sz w:val="18"/>
                <w:szCs w:val="18"/>
                <w:lang w:val="hu-HU"/>
              </w:rPr>
              <w:t>k</w:t>
            </w:r>
            <w:r w:rsidR="00DA64A6" w:rsidRPr="00A53671">
              <w:rPr>
                <w:rFonts w:ascii="Verdana" w:eastAsia="MS Mincho" w:hAnsi="Verdana" w:cs="Times New Roman"/>
                <w:b w:val="0"/>
                <w:i/>
                <w:sz w:val="18"/>
                <w:szCs w:val="18"/>
                <w:lang w:val="hu-HU"/>
              </w:rPr>
              <w:t xml:space="preserve"> vétségére vonatkozó bűnügyi nyomozást illeti, a Bíróság emlékeztet, hogy ahhoz, hogy egy „nyomozást „hatékonynak” lehessen tekinteni, annak elvben </w:t>
            </w:r>
            <w:r w:rsidR="006F2820" w:rsidRPr="00A53671">
              <w:rPr>
                <w:rFonts w:ascii="Verdana" w:eastAsia="MS Mincho" w:hAnsi="Verdana" w:cs="Times New Roman"/>
                <w:b w:val="0"/>
                <w:i/>
                <w:sz w:val="18"/>
                <w:szCs w:val="18"/>
                <w:lang w:val="hu-HU"/>
              </w:rPr>
              <w:t xml:space="preserve">el kell tudnia vezetni </w:t>
            </w:r>
            <w:r w:rsidR="00DA64A6" w:rsidRPr="00A53671">
              <w:rPr>
                <w:rFonts w:ascii="Verdana" w:eastAsia="MS Mincho" w:hAnsi="Verdana" w:cs="Times New Roman"/>
                <w:b w:val="0"/>
                <w:i/>
                <w:sz w:val="18"/>
                <w:szCs w:val="18"/>
                <w:lang w:val="hu-HU"/>
              </w:rPr>
              <w:t>az ügy tény</w:t>
            </w:r>
            <w:r w:rsidR="003F6CF5" w:rsidRPr="00A53671">
              <w:rPr>
                <w:rFonts w:ascii="Verdana" w:eastAsia="MS Mincho" w:hAnsi="Verdana" w:cs="Times New Roman"/>
                <w:b w:val="0"/>
                <w:i/>
                <w:sz w:val="18"/>
                <w:szCs w:val="18"/>
                <w:lang w:val="hu-HU"/>
              </w:rPr>
              <w:t>állásának</w:t>
            </w:r>
            <w:r w:rsidR="00DA64A6" w:rsidRPr="00A53671">
              <w:rPr>
                <w:rFonts w:ascii="Verdana" w:eastAsia="MS Mincho" w:hAnsi="Verdana" w:cs="Times New Roman"/>
                <w:b w:val="0"/>
                <w:i/>
                <w:sz w:val="18"/>
                <w:szCs w:val="18"/>
                <w:lang w:val="hu-HU"/>
              </w:rPr>
              <w:t xml:space="preserve"> felderítéséhez</w:t>
            </w:r>
            <w:r w:rsidR="003F6CF5" w:rsidRPr="00A53671">
              <w:rPr>
                <w:rFonts w:ascii="Verdana" w:eastAsia="MS Mincho" w:hAnsi="Verdana" w:cs="Times New Roman"/>
                <w:b w:val="0"/>
                <w:i/>
                <w:sz w:val="18"/>
                <w:szCs w:val="18"/>
                <w:lang w:val="hu-HU"/>
              </w:rPr>
              <w:t>, valamint</w:t>
            </w:r>
            <w:r w:rsidR="00DA64A6" w:rsidRPr="00A53671">
              <w:rPr>
                <w:rFonts w:ascii="Verdana" w:eastAsia="MS Mincho" w:hAnsi="Verdana" w:cs="Times New Roman"/>
                <w:b w:val="0"/>
                <w:i/>
                <w:sz w:val="18"/>
                <w:szCs w:val="18"/>
                <w:lang w:val="hu-HU"/>
              </w:rPr>
              <w:t xml:space="preserve"> a felelősök azonosításához és megbüntetéséhez. </w:t>
            </w:r>
            <w:r w:rsidR="006F2820" w:rsidRPr="00A53671">
              <w:rPr>
                <w:rFonts w:ascii="Verdana" w:eastAsia="MS Mincho" w:hAnsi="Verdana" w:cs="Times New Roman"/>
                <w:b w:val="0"/>
                <w:i/>
                <w:sz w:val="18"/>
                <w:szCs w:val="18"/>
                <w:lang w:val="hu-HU"/>
              </w:rPr>
              <w:t>Ez azonban nem az eredményre, hanem az eszközökre vonatkozó előírás”</w:t>
            </w:r>
            <w:r w:rsidRPr="00A53671">
              <w:rPr>
                <w:rFonts w:ascii="Verdana" w:eastAsia="MS Mincho" w:hAnsi="Verdana" w:cs="Times New Roman"/>
                <w:b w:val="0"/>
                <w:i/>
                <w:sz w:val="18"/>
                <w:szCs w:val="18"/>
                <w:lang w:val="hu-HU"/>
              </w:rPr>
              <w:t xml:space="preserve"> (</w:t>
            </w:r>
            <w:r w:rsidR="006F2820" w:rsidRPr="00A53671">
              <w:rPr>
                <w:rFonts w:ascii="Verdana" w:eastAsia="MS Mincho" w:hAnsi="Verdana" w:cs="Times New Roman"/>
                <w:b w:val="0"/>
                <w:i/>
                <w:sz w:val="18"/>
                <w:szCs w:val="18"/>
                <w:lang w:val="hu-HU"/>
              </w:rPr>
              <w:t>lásd</w:t>
            </w:r>
            <w:r w:rsidRPr="00A53671">
              <w:rPr>
                <w:rFonts w:ascii="Verdana" w:eastAsia="MS Mincho" w:hAnsi="Verdana" w:cs="Times New Roman"/>
                <w:b w:val="0"/>
                <w:i/>
                <w:sz w:val="18"/>
                <w:szCs w:val="18"/>
                <w:lang w:val="hu-HU"/>
              </w:rPr>
              <w:t xml:space="preserve">, </w:t>
            </w:r>
            <w:r w:rsidR="006F2820" w:rsidRPr="00A53671">
              <w:rPr>
                <w:rFonts w:ascii="Verdana" w:eastAsia="MS Mincho" w:hAnsi="Verdana" w:cs="Times New Roman"/>
                <w:b w:val="0"/>
                <w:i/>
                <w:sz w:val="18"/>
                <w:szCs w:val="18"/>
                <w:lang w:val="hu-HU"/>
              </w:rPr>
              <w:t>noha a 3. cikkel összefüggésben,</w:t>
            </w:r>
            <w:r w:rsidR="00324C9F">
              <w:rPr>
                <w:rFonts w:ascii="Verdana" w:eastAsia="MS Mincho" w:hAnsi="Verdana" w:cs="Times New Roman"/>
                <w:b w:val="0"/>
                <w:i/>
                <w:sz w:val="18"/>
                <w:szCs w:val="18"/>
                <w:lang w:val="hu-HU"/>
              </w:rPr>
              <w:t xml:space="preserve"> </w:t>
            </w:r>
            <w:proofErr w:type="spellStart"/>
            <w:r w:rsidRPr="00A53671">
              <w:rPr>
                <w:rFonts w:ascii="Verdana" w:eastAsia="MS Mincho" w:hAnsi="Verdana" w:cs="Times New Roman"/>
                <w:b w:val="0"/>
                <w:i/>
                <w:sz w:val="18"/>
                <w:szCs w:val="18"/>
                <w:lang w:val="hu-HU"/>
              </w:rPr>
              <w:t>Identoba</w:t>
            </w:r>
            <w:proofErr w:type="spellEnd"/>
            <w:r w:rsidR="00324C9F">
              <w:rPr>
                <w:rFonts w:ascii="Verdana" w:eastAsia="MS Mincho" w:hAnsi="Verdana" w:cs="Times New Roman"/>
                <w:b w:val="0"/>
                <w:i/>
                <w:sz w:val="18"/>
                <w:szCs w:val="18"/>
                <w:lang w:val="hu-HU"/>
              </w:rPr>
              <w:t xml:space="preserve"> </w:t>
            </w:r>
            <w:r w:rsidR="006F2820" w:rsidRPr="00A53671">
              <w:rPr>
                <w:rFonts w:ascii="Verdana" w:eastAsia="MS Mincho" w:hAnsi="Verdana" w:cs="Times New Roman"/>
                <w:b w:val="0"/>
                <w:i/>
                <w:sz w:val="18"/>
                <w:szCs w:val="18"/>
                <w:lang w:val="hu-HU"/>
              </w:rPr>
              <w:t>és társai kontra</w:t>
            </w:r>
            <w:r w:rsidRPr="00A53671">
              <w:rPr>
                <w:rFonts w:ascii="Verdana" w:eastAsia="MS Mincho" w:hAnsi="Verdana" w:cs="Times New Roman"/>
                <w:b w:val="0"/>
                <w:i/>
                <w:sz w:val="18"/>
                <w:szCs w:val="18"/>
                <w:lang w:val="hu-HU"/>
              </w:rPr>
              <w:t xml:space="preserve"> G</w:t>
            </w:r>
            <w:r w:rsidR="006F2820" w:rsidRPr="00A53671">
              <w:rPr>
                <w:rFonts w:ascii="Verdana" w:eastAsia="MS Mincho" w:hAnsi="Verdana" w:cs="Times New Roman"/>
                <w:b w:val="0"/>
                <w:i/>
                <w:sz w:val="18"/>
                <w:szCs w:val="18"/>
                <w:lang w:val="hu-HU"/>
              </w:rPr>
              <w:t>rúzia</w:t>
            </w:r>
            <w:r w:rsidRPr="00A53671">
              <w:rPr>
                <w:rFonts w:ascii="Verdana" w:eastAsia="MS Mincho" w:hAnsi="Verdana" w:cs="Times New Roman"/>
                <w:b w:val="0"/>
                <w:i/>
                <w:sz w:val="18"/>
                <w:szCs w:val="18"/>
                <w:lang w:val="hu-HU"/>
              </w:rPr>
              <w:t>, 73235/12</w:t>
            </w:r>
            <w:r w:rsidR="006F2820" w:rsidRPr="00A53671">
              <w:rPr>
                <w:rFonts w:ascii="Verdana" w:eastAsia="MS Mincho" w:hAnsi="Verdana" w:cs="Times New Roman"/>
                <w:b w:val="0"/>
                <w:i/>
                <w:sz w:val="18"/>
                <w:szCs w:val="18"/>
                <w:lang w:val="hu-HU"/>
              </w:rPr>
              <w:t xml:space="preserve"> sz. kérelem</w:t>
            </w:r>
            <w:r w:rsidRPr="00A53671">
              <w:rPr>
                <w:rFonts w:ascii="Verdana" w:eastAsia="MS Mincho" w:hAnsi="Verdana" w:cs="Times New Roman"/>
                <w:b w:val="0"/>
                <w:i/>
                <w:sz w:val="18"/>
                <w:szCs w:val="18"/>
                <w:lang w:val="hu-HU"/>
              </w:rPr>
              <w:t>, 66</w:t>
            </w:r>
            <w:r w:rsidR="006F2820" w:rsidRPr="00A53671">
              <w:rPr>
                <w:rFonts w:ascii="Verdana" w:eastAsia="MS Mincho" w:hAnsi="Verdana" w:cs="Times New Roman"/>
                <w:b w:val="0"/>
                <w:i/>
                <w:sz w:val="18"/>
                <w:szCs w:val="18"/>
                <w:lang w:val="hu-HU"/>
              </w:rPr>
              <w:t>. bekezdés</w:t>
            </w:r>
            <w:r w:rsidRPr="00A53671">
              <w:rPr>
                <w:rFonts w:ascii="Verdana" w:eastAsia="MS Mincho" w:hAnsi="Verdana" w:cs="Times New Roman"/>
                <w:b w:val="0"/>
                <w:i/>
                <w:sz w:val="18"/>
                <w:szCs w:val="18"/>
                <w:lang w:val="hu-HU"/>
              </w:rPr>
              <w:t>, 2015</w:t>
            </w:r>
            <w:r w:rsidR="006F2820" w:rsidRPr="00A53671">
              <w:rPr>
                <w:rFonts w:ascii="Verdana" w:eastAsia="MS Mincho" w:hAnsi="Verdana" w:cs="Times New Roman"/>
                <w:b w:val="0"/>
                <w:i/>
                <w:sz w:val="18"/>
                <w:szCs w:val="18"/>
                <w:lang w:val="hu-HU"/>
              </w:rPr>
              <w:t>. május 12.</w:t>
            </w:r>
            <w:r w:rsidRPr="00A53671">
              <w:rPr>
                <w:rFonts w:ascii="Verdana" w:eastAsia="MS Mincho" w:hAnsi="Verdana" w:cs="Times New Roman"/>
                <w:b w:val="0"/>
                <w:i/>
                <w:sz w:val="18"/>
                <w:szCs w:val="18"/>
                <w:lang w:val="hu-HU"/>
              </w:rPr>
              <w:t xml:space="preserve">). </w:t>
            </w:r>
            <w:r w:rsidR="006F2820" w:rsidRPr="00A53671">
              <w:rPr>
                <w:rFonts w:ascii="Verdana" w:eastAsia="MS Mincho" w:hAnsi="Verdana" w:cs="Times New Roman"/>
                <w:b w:val="0"/>
                <w:i/>
                <w:sz w:val="18"/>
                <w:szCs w:val="18"/>
                <w:lang w:val="hu-HU"/>
              </w:rPr>
              <w:t>A jelen esetben ezek az eljárások majdnem három évig tartottak</w:t>
            </w:r>
            <w:r w:rsidR="00324C9F">
              <w:rPr>
                <w:rFonts w:ascii="Verdana" w:eastAsia="MS Mincho" w:hAnsi="Verdana" w:cs="Times New Roman"/>
                <w:b w:val="0"/>
                <w:i/>
                <w:sz w:val="18"/>
                <w:szCs w:val="18"/>
                <w:lang w:val="hu-HU"/>
              </w:rPr>
              <w:t>,</w:t>
            </w:r>
            <w:r w:rsidR="006F2820" w:rsidRPr="00A53671">
              <w:rPr>
                <w:rFonts w:ascii="Verdana" w:eastAsia="MS Mincho" w:hAnsi="Verdana" w:cs="Times New Roman"/>
                <w:b w:val="0"/>
                <w:i/>
                <w:sz w:val="18"/>
                <w:szCs w:val="18"/>
                <w:lang w:val="hu-HU"/>
              </w:rPr>
              <w:t xml:space="preserve"> és hatókörüket törvény korlátozta a konkrét erőszakos cselekményekre. A hatóságok végül egy vádemelésre alkalmas cselekményt azonosítottak; az elkövető ellen vádat emeltek </w:t>
            </w:r>
            <w:r w:rsidR="00324C9F">
              <w:rPr>
                <w:rFonts w:ascii="Verdana" w:eastAsia="MS Mincho" w:hAnsi="Verdana" w:cs="Times New Roman"/>
                <w:b w:val="0"/>
                <w:i/>
                <w:sz w:val="18"/>
                <w:szCs w:val="18"/>
                <w:lang w:val="hu-HU"/>
              </w:rPr>
              <w:t>közösség</w:t>
            </w:r>
            <w:r w:rsidR="006F2820" w:rsidRPr="00A53671">
              <w:rPr>
                <w:rFonts w:ascii="Verdana" w:eastAsia="MS Mincho" w:hAnsi="Verdana" w:cs="Times New Roman"/>
                <w:b w:val="0"/>
                <w:i/>
                <w:sz w:val="18"/>
                <w:szCs w:val="18"/>
                <w:lang w:val="hu-HU"/>
              </w:rPr>
              <w:t xml:space="preserve"> tagja elleni erőszakért</w:t>
            </w:r>
            <w:r w:rsidR="00324C9F">
              <w:rPr>
                <w:rFonts w:ascii="Verdana" w:eastAsia="MS Mincho" w:hAnsi="Verdana" w:cs="Times New Roman"/>
                <w:b w:val="0"/>
                <w:i/>
                <w:sz w:val="18"/>
                <w:szCs w:val="18"/>
                <w:lang w:val="hu-HU"/>
              </w:rPr>
              <w:t>,</w:t>
            </w:r>
            <w:r w:rsidR="006F2820" w:rsidRPr="00A53671">
              <w:rPr>
                <w:rFonts w:ascii="Verdana" w:eastAsia="MS Mincho" w:hAnsi="Verdana" w:cs="Times New Roman"/>
                <w:b w:val="0"/>
                <w:i/>
                <w:sz w:val="18"/>
                <w:szCs w:val="18"/>
                <w:lang w:val="hu-HU"/>
              </w:rPr>
              <w:t xml:space="preserve"> és el is ítélték ezért a vétségért. Bár a rendőrségnek elegendő idő állt rendelkezésére, hogy felkészüljenek az eseményre, és számos személyt ki kellett volna hallgatniuk az eset után (lásd a 17. bekezdést), csak öt tüntető</w:t>
            </w:r>
            <w:r w:rsidR="00324C9F">
              <w:rPr>
                <w:rFonts w:ascii="Verdana" w:eastAsia="MS Mincho" w:hAnsi="Verdana" w:cs="Times New Roman"/>
                <w:b w:val="0"/>
                <w:i/>
                <w:sz w:val="18"/>
                <w:szCs w:val="18"/>
                <w:lang w:val="hu-HU"/>
              </w:rPr>
              <w:t>t</w:t>
            </w:r>
            <w:r w:rsidR="006F2820" w:rsidRPr="00A53671">
              <w:rPr>
                <w:rFonts w:ascii="Verdana" w:eastAsia="MS Mincho" w:hAnsi="Verdana" w:cs="Times New Roman"/>
                <w:b w:val="0"/>
                <w:i/>
                <w:sz w:val="18"/>
                <w:szCs w:val="18"/>
                <w:lang w:val="hu-HU"/>
              </w:rPr>
              <w:t xml:space="preserve"> kérdeztek ki, és három állítólagos elkövetőt nem tudtak azonosítani. A </w:t>
            </w:r>
            <w:r w:rsidR="003F6CF5" w:rsidRPr="00A53671">
              <w:rPr>
                <w:rFonts w:ascii="Verdana" w:eastAsia="MS Mincho" w:hAnsi="Verdana" w:cs="Times New Roman"/>
                <w:b w:val="0"/>
                <w:i/>
                <w:sz w:val="18"/>
                <w:szCs w:val="18"/>
                <w:lang w:val="hu-HU"/>
              </w:rPr>
              <w:t xml:space="preserve">potenciálisan a </w:t>
            </w:r>
            <w:r w:rsidR="006F2820" w:rsidRPr="00A53671">
              <w:rPr>
                <w:rFonts w:ascii="Verdana" w:eastAsia="MS Mincho" w:hAnsi="Verdana" w:cs="Times New Roman"/>
                <w:b w:val="0"/>
                <w:i/>
                <w:sz w:val="18"/>
                <w:szCs w:val="18"/>
                <w:lang w:val="hu-HU"/>
              </w:rPr>
              <w:t xml:space="preserve">kérdéses vétség </w:t>
            </w:r>
            <w:r w:rsidR="00324C9F">
              <w:rPr>
                <w:rFonts w:ascii="Verdana" w:eastAsia="MS Mincho" w:hAnsi="Verdana" w:cs="Times New Roman"/>
                <w:b w:val="0"/>
                <w:i/>
                <w:sz w:val="18"/>
                <w:szCs w:val="18"/>
                <w:lang w:val="hu-HU"/>
              </w:rPr>
              <w:t>fogalmi körébe tartozó további körülmények bizonyítottságának</w:t>
            </w:r>
            <w:r w:rsidR="003F6CF5" w:rsidRPr="00A53671">
              <w:rPr>
                <w:rFonts w:ascii="Verdana" w:eastAsia="MS Mincho" w:hAnsi="Verdana" w:cs="Times New Roman"/>
                <w:b w:val="0"/>
                <w:i/>
                <w:sz w:val="18"/>
                <w:szCs w:val="18"/>
                <w:lang w:val="hu-HU"/>
              </w:rPr>
              <w:t xml:space="preserve"> hiánya miatt a rendőrség nem volt abban a helyzetben, hogy kiterjessze a </w:t>
            </w:r>
            <w:r w:rsidR="00324C9F">
              <w:rPr>
                <w:rFonts w:ascii="Verdana" w:eastAsia="MS Mincho" w:hAnsi="Verdana" w:cs="Times New Roman"/>
                <w:b w:val="0"/>
                <w:i/>
                <w:sz w:val="18"/>
                <w:szCs w:val="18"/>
                <w:lang w:val="hu-HU"/>
              </w:rPr>
              <w:t>nyomozás</w:t>
            </w:r>
            <w:r w:rsidR="00324C9F" w:rsidRPr="00A53671">
              <w:rPr>
                <w:rFonts w:ascii="Verdana" w:eastAsia="MS Mincho" w:hAnsi="Verdana" w:cs="Times New Roman"/>
                <w:b w:val="0"/>
                <w:i/>
                <w:sz w:val="18"/>
                <w:szCs w:val="18"/>
                <w:lang w:val="hu-HU"/>
              </w:rPr>
              <w:t xml:space="preserve">t </w:t>
            </w:r>
            <w:r w:rsidR="003F6CF5" w:rsidRPr="00A53671">
              <w:rPr>
                <w:rFonts w:ascii="Verdana" w:eastAsia="MS Mincho" w:hAnsi="Verdana" w:cs="Times New Roman"/>
                <w:b w:val="0"/>
                <w:i/>
                <w:sz w:val="18"/>
                <w:szCs w:val="18"/>
                <w:lang w:val="hu-HU"/>
              </w:rPr>
              <w:t>más elkövetőkre is. Ilyen körülmények között a Bíróság megállapította, hogy ez az eljárás önmagában nem volt alkalmas arra, hogy „elvezessen az ügy tényállásának felderítéséhez”</w:t>
            </w:r>
            <w:r w:rsidR="00324C9F">
              <w:rPr>
                <w:rFonts w:ascii="Verdana" w:eastAsia="MS Mincho" w:hAnsi="Verdana" w:cs="Times New Roman"/>
                <w:b w:val="0"/>
                <w:i/>
                <w:sz w:val="18"/>
                <w:szCs w:val="18"/>
                <w:lang w:val="hu-HU"/>
              </w:rPr>
              <w:t>,</w:t>
            </w:r>
            <w:r w:rsidR="003F6CF5" w:rsidRPr="00A53671">
              <w:rPr>
                <w:rFonts w:ascii="Verdana" w:eastAsia="MS Mincho" w:hAnsi="Verdana" w:cs="Times New Roman"/>
                <w:b w:val="0"/>
                <w:i/>
                <w:sz w:val="18"/>
                <w:szCs w:val="18"/>
                <w:lang w:val="hu-HU"/>
              </w:rPr>
              <w:t xml:space="preserve"> és nem volt elégséges válasz a panasz által érintett helyzet valós és összetett </w:t>
            </w:r>
            <w:r w:rsidR="006B177D">
              <w:rPr>
                <w:rFonts w:ascii="Verdana" w:eastAsia="MS Mincho" w:hAnsi="Verdana" w:cs="Times New Roman"/>
                <w:b w:val="0"/>
                <w:i/>
                <w:sz w:val="18"/>
                <w:szCs w:val="18"/>
                <w:lang w:val="hu-HU"/>
              </w:rPr>
              <w:t>természetére</w:t>
            </w:r>
            <w:r w:rsidR="003F6CF5" w:rsidRPr="00A53671">
              <w:rPr>
                <w:rFonts w:ascii="Verdana" w:eastAsia="MS Mincho" w:hAnsi="Verdana" w:cs="Times New Roman"/>
                <w:b w:val="0"/>
                <w:i/>
                <w:sz w:val="18"/>
                <w:szCs w:val="18"/>
                <w:lang w:val="hu-HU"/>
              </w:rPr>
              <w:t>.</w:t>
            </w:r>
          </w:p>
          <w:p w:rsidR="00C11153" w:rsidRPr="00A53671" w:rsidRDefault="00C11153" w:rsidP="00156CE2">
            <w:pPr>
              <w:pStyle w:val="Listaszerbekezds"/>
              <w:jc w:val="both"/>
              <w:rPr>
                <w:rFonts w:ascii="Verdana" w:eastAsia="MS Mincho" w:hAnsi="Verdana" w:cs="Times New Roman"/>
                <w:b w:val="0"/>
                <w:i/>
                <w:sz w:val="18"/>
                <w:szCs w:val="18"/>
                <w:u w:val="single"/>
                <w:lang w:val="hu-HU"/>
              </w:rPr>
            </w:pPr>
          </w:p>
          <w:p w:rsidR="00C11153" w:rsidRPr="00A53671" w:rsidRDefault="00C11153" w:rsidP="005407D4">
            <w:pPr>
              <w:pStyle w:val="Listaszerbekezds"/>
              <w:jc w:val="both"/>
              <w:rPr>
                <w:rFonts w:ascii="Verdana" w:eastAsia="MS Mincho" w:hAnsi="Verdana" w:cs="Times New Roman"/>
                <w:bCs w:val="0"/>
                <w:i/>
                <w:sz w:val="18"/>
                <w:szCs w:val="18"/>
                <w:lang w:val="hu-HU"/>
              </w:rPr>
            </w:pPr>
            <w:r w:rsidRPr="00A53671">
              <w:rPr>
                <w:rFonts w:ascii="Verdana" w:eastAsia="MS Mincho" w:hAnsi="Verdana" w:cs="Times New Roman"/>
                <w:b w:val="0"/>
                <w:i/>
                <w:sz w:val="18"/>
                <w:szCs w:val="18"/>
                <w:u w:val="single"/>
                <w:lang w:val="hu-HU"/>
              </w:rPr>
              <w:t>80</w:t>
            </w:r>
            <w:r w:rsidR="003F6CF5" w:rsidRPr="00A53671">
              <w:rPr>
                <w:rFonts w:ascii="Verdana" w:eastAsia="MS Mincho" w:hAnsi="Verdana" w:cs="Times New Roman"/>
                <w:b w:val="0"/>
                <w:i/>
                <w:sz w:val="18"/>
                <w:szCs w:val="18"/>
                <w:u w:val="single"/>
                <w:lang w:val="hu-HU"/>
              </w:rPr>
              <w:t>. bekezdés</w:t>
            </w:r>
            <w:r w:rsidRPr="00A53671">
              <w:rPr>
                <w:rFonts w:ascii="Verdana" w:eastAsia="MS Mincho" w:hAnsi="Verdana" w:cs="Times New Roman"/>
                <w:b w:val="0"/>
                <w:i/>
                <w:sz w:val="18"/>
                <w:szCs w:val="18"/>
                <w:lang w:val="hu-HU"/>
              </w:rPr>
              <w:t xml:space="preserve">: </w:t>
            </w:r>
            <w:r w:rsidR="003F6CF5" w:rsidRPr="00A53671">
              <w:rPr>
                <w:rFonts w:ascii="Verdana" w:eastAsia="MS Mincho" w:hAnsi="Verdana" w:cs="Times New Roman"/>
                <w:b w:val="0"/>
                <w:i/>
                <w:sz w:val="18"/>
                <w:szCs w:val="18"/>
                <w:lang w:val="hu-HU"/>
              </w:rPr>
              <w:t>A vizsgálatok fenti hiányosságainak</w:t>
            </w:r>
            <w:r w:rsidR="00C00566" w:rsidRPr="00A53671">
              <w:rPr>
                <w:rFonts w:ascii="Verdana" w:eastAsia="MS Mincho" w:hAnsi="Verdana" w:cs="Times New Roman"/>
                <w:b w:val="0"/>
                <w:i/>
                <w:sz w:val="18"/>
                <w:szCs w:val="18"/>
                <w:lang w:val="hu-HU"/>
              </w:rPr>
              <w:t xml:space="preserve"> –</w:t>
            </w:r>
            <w:r w:rsidR="003F6CF5" w:rsidRPr="00A53671">
              <w:rPr>
                <w:rFonts w:ascii="Verdana" w:eastAsia="MS Mincho" w:hAnsi="Verdana" w:cs="Times New Roman"/>
                <w:b w:val="0"/>
                <w:i/>
                <w:sz w:val="18"/>
                <w:szCs w:val="18"/>
                <w:lang w:val="hu-HU"/>
              </w:rPr>
              <w:t xml:space="preserve"> különö</w:t>
            </w:r>
            <w:r w:rsidR="00C97987">
              <w:rPr>
                <w:rFonts w:ascii="Verdana" w:eastAsia="MS Mincho" w:hAnsi="Verdana" w:cs="Times New Roman"/>
                <w:b w:val="0"/>
                <w:i/>
                <w:sz w:val="18"/>
                <w:szCs w:val="18"/>
                <w:lang w:val="hu-HU"/>
              </w:rPr>
              <w:t>s tekintettel</w:t>
            </w:r>
            <w:r w:rsidR="003F6CF5" w:rsidRPr="00A53671">
              <w:rPr>
                <w:rFonts w:ascii="Verdana" w:eastAsia="MS Mincho" w:hAnsi="Verdana" w:cs="Times New Roman"/>
                <w:b w:val="0"/>
                <w:i/>
                <w:sz w:val="18"/>
                <w:szCs w:val="18"/>
                <w:lang w:val="hu-HU"/>
              </w:rPr>
              <w:t xml:space="preserve"> a rendfenntartó szervek</w:t>
            </w:r>
            <w:r w:rsidR="00C00566" w:rsidRPr="00A53671">
              <w:rPr>
                <w:rFonts w:ascii="Verdana" w:eastAsia="MS Mincho" w:hAnsi="Verdana" w:cs="Times New Roman"/>
                <w:b w:val="0"/>
                <w:i/>
                <w:sz w:val="18"/>
                <w:szCs w:val="18"/>
                <w:lang w:val="hu-HU"/>
              </w:rPr>
              <w:t xml:space="preserve"> </w:t>
            </w:r>
            <w:r w:rsidR="003F6CF5" w:rsidRPr="00A53671">
              <w:rPr>
                <w:rFonts w:ascii="Verdana" w:eastAsia="MS Mincho" w:hAnsi="Verdana" w:cs="Times New Roman"/>
                <w:b w:val="0"/>
                <w:i/>
                <w:sz w:val="18"/>
                <w:szCs w:val="18"/>
                <w:lang w:val="hu-HU"/>
              </w:rPr>
              <w:t>eseménnyel kapcsolat</w:t>
            </w:r>
            <w:r w:rsidR="00C97987">
              <w:rPr>
                <w:rFonts w:ascii="Verdana" w:eastAsia="MS Mincho" w:hAnsi="Verdana" w:cs="Times New Roman"/>
                <w:b w:val="0"/>
                <w:i/>
                <w:sz w:val="18"/>
                <w:szCs w:val="18"/>
                <w:lang w:val="hu-HU"/>
              </w:rPr>
              <w:t>os</w:t>
            </w:r>
            <w:r w:rsidR="003F6CF5" w:rsidRPr="00A53671">
              <w:rPr>
                <w:rFonts w:ascii="Verdana" w:eastAsia="MS Mincho" w:hAnsi="Verdana" w:cs="Times New Roman"/>
                <w:b w:val="0"/>
                <w:i/>
                <w:sz w:val="18"/>
                <w:szCs w:val="18"/>
                <w:lang w:val="hu-HU"/>
              </w:rPr>
              <w:t xml:space="preserve"> átfogó </w:t>
            </w:r>
            <w:r w:rsidR="00C00566" w:rsidRPr="00A53671">
              <w:rPr>
                <w:rFonts w:ascii="Verdana" w:eastAsia="MS Mincho" w:hAnsi="Verdana" w:cs="Times New Roman"/>
                <w:b w:val="0"/>
                <w:i/>
                <w:sz w:val="18"/>
                <w:szCs w:val="18"/>
                <w:lang w:val="hu-HU"/>
              </w:rPr>
              <w:t>stratégiájának</w:t>
            </w:r>
            <w:r w:rsidR="00C97987">
              <w:rPr>
                <w:rFonts w:ascii="Verdana" w:eastAsia="MS Mincho" w:hAnsi="Verdana" w:cs="Times New Roman"/>
                <w:b w:val="0"/>
                <w:i/>
                <w:sz w:val="18"/>
                <w:szCs w:val="18"/>
                <w:lang w:val="hu-HU"/>
              </w:rPr>
              <w:t xml:space="preserve"> a hiányára</w:t>
            </w:r>
            <w:r w:rsidR="00C00566" w:rsidRPr="00A53671">
              <w:rPr>
                <w:rFonts w:ascii="Verdana" w:eastAsia="MS Mincho" w:hAnsi="Verdana" w:cs="Times New Roman"/>
                <w:b w:val="0"/>
                <w:i/>
                <w:sz w:val="18"/>
                <w:szCs w:val="18"/>
                <w:lang w:val="hu-HU"/>
              </w:rPr>
              <w:t xml:space="preserve"> – az együttes hatása az volt, hogy egy elszórt erőszaktól sem mentes (lásd </w:t>
            </w:r>
            <w:r w:rsidR="000B2EF3">
              <w:rPr>
                <w:rFonts w:ascii="Verdana" w:eastAsia="MS Mincho" w:hAnsi="Verdana" w:cs="Times New Roman"/>
                <w:b w:val="0"/>
                <w:i/>
                <w:sz w:val="18"/>
                <w:szCs w:val="18"/>
                <w:lang w:val="hu-HU"/>
              </w:rPr>
              <w:t xml:space="preserve">a </w:t>
            </w:r>
            <w:r w:rsidR="00C00566" w:rsidRPr="00A53671">
              <w:rPr>
                <w:rFonts w:ascii="Verdana" w:eastAsia="MS Mincho" w:hAnsi="Verdana" w:cs="Times New Roman"/>
                <w:b w:val="0"/>
                <w:i/>
                <w:sz w:val="18"/>
                <w:szCs w:val="18"/>
                <w:lang w:val="hu-HU"/>
              </w:rPr>
              <w:t>11-12. és a 25-26. bekezdést), nyíltan rasszista tüntetés gyakorlatilag jogi következmények nélkül maradt</w:t>
            </w:r>
            <w:r w:rsidR="000B2EF3">
              <w:rPr>
                <w:rFonts w:ascii="Verdana" w:eastAsia="MS Mincho" w:hAnsi="Verdana" w:cs="Times New Roman"/>
                <w:b w:val="0"/>
                <w:i/>
                <w:sz w:val="18"/>
                <w:szCs w:val="18"/>
                <w:lang w:val="hu-HU"/>
              </w:rPr>
              <w:t>,</w:t>
            </w:r>
            <w:r w:rsidR="00C00566" w:rsidRPr="00A53671">
              <w:rPr>
                <w:rFonts w:ascii="Verdana" w:eastAsia="MS Mincho" w:hAnsi="Verdana" w:cs="Times New Roman"/>
                <w:b w:val="0"/>
                <w:i/>
                <w:sz w:val="18"/>
                <w:szCs w:val="18"/>
                <w:lang w:val="hu-HU"/>
              </w:rPr>
              <w:t xml:space="preserve"> és a kérelmezők számára nem biztosították a lelki épséghez való joguk előírt védelmét. Nem részesülhettek a </w:t>
            </w:r>
            <w:r w:rsidR="005407D4" w:rsidRPr="00A53671">
              <w:rPr>
                <w:rFonts w:ascii="Verdana" w:eastAsia="MS Mincho" w:hAnsi="Verdana" w:cs="Times New Roman"/>
                <w:b w:val="0"/>
                <w:i/>
                <w:sz w:val="18"/>
                <w:szCs w:val="18"/>
                <w:lang w:val="hu-HU"/>
              </w:rPr>
              <w:t xml:space="preserve">roma közösség, köztük a kérelmezők megfélemlítését félkatonai jellegű felvonulással, szóbeli fenyegetésekkel és faji alapú szegregációt támogató beszédekkel megvalósító, </w:t>
            </w:r>
            <w:r w:rsidR="00C00566" w:rsidRPr="00A53671">
              <w:rPr>
                <w:rFonts w:ascii="Verdana" w:eastAsia="MS Mincho" w:hAnsi="Verdana" w:cs="Times New Roman"/>
                <w:b w:val="0"/>
                <w:i/>
                <w:sz w:val="18"/>
                <w:szCs w:val="18"/>
                <w:lang w:val="hu-HU"/>
              </w:rPr>
              <w:t>nyílt</w:t>
            </w:r>
            <w:r w:rsidR="005407D4" w:rsidRPr="00A53671">
              <w:rPr>
                <w:rFonts w:ascii="Verdana" w:eastAsia="MS Mincho" w:hAnsi="Verdana" w:cs="Times New Roman"/>
                <w:b w:val="0"/>
                <w:i/>
                <w:sz w:val="18"/>
                <w:szCs w:val="18"/>
                <w:lang w:val="hu-HU"/>
              </w:rPr>
              <w:t>an</w:t>
            </w:r>
            <w:r w:rsidR="00C00566" w:rsidRPr="00A53671">
              <w:rPr>
                <w:rFonts w:ascii="Verdana" w:eastAsia="MS Mincho" w:hAnsi="Verdana" w:cs="Times New Roman"/>
                <w:b w:val="0"/>
                <w:i/>
                <w:sz w:val="18"/>
                <w:szCs w:val="18"/>
                <w:lang w:val="hu-HU"/>
              </w:rPr>
              <w:t xml:space="preserve"> romaellenes demonstráció ellen védelmet biztosító jogi </w:t>
            </w:r>
            <w:r w:rsidR="005407D4" w:rsidRPr="00A53671">
              <w:rPr>
                <w:rFonts w:ascii="Verdana" w:eastAsia="MS Mincho" w:hAnsi="Verdana" w:cs="Times New Roman"/>
                <w:b w:val="0"/>
                <w:i/>
                <w:sz w:val="18"/>
                <w:szCs w:val="18"/>
                <w:lang w:val="hu-HU"/>
              </w:rPr>
              <w:t xml:space="preserve">keretrendszer végrehajtásának előnyeiből sem. </w:t>
            </w:r>
            <w:r w:rsidR="005407D4" w:rsidRPr="00A53671">
              <w:rPr>
                <w:rFonts w:ascii="Verdana" w:eastAsia="MS Mincho" w:hAnsi="Verdana" w:cs="Times New Roman"/>
                <w:i/>
                <w:sz w:val="18"/>
                <w:szCs w:val="18"/>
                <w:lang w:val="hu-HU"/>
              </w:rPr>
              <w:t>A Bíróság abbeli aggodalmának ad hangot, hogy ezt a nyilvánosság úgy értékelheti, mintha az állam legitimálná és/vagy tolerálná az ilyen viselkedésformákat.</w:t>
            </w:r>
          </w:p>
        </w:tc>
      </w:tr>
    </w:tbl>
    <w:p w:rsidR="00156CE2" w:rsidRDefault="00156CE2" w:rsidP="00156CE2">
      <w:pPr>
        <w:jc w:val="both"/>
        <w:rPr>
          <w:rFonts w:ascii="Times New Roman" w:hAnsi="Times New Roman" w:cs="Times New Roman"/>
          <w:iCs/>
          <w:sz w:val="24"/>
          <w:szCs w:val="24"/>
          <w:lang w:val="en-GB"/>
        </w:rPr>
      </w:pPr>
    </w:p>
    <w:p w:rsidR="003913BD" w:rsidRPr="00A53671" w:rsidRDefault="00A53671" w:rsidP="00414CF3">
      <w:pPr>
        <w:ind w:firstLine="720"/>
        <w:jc w:val="both"/>
        <w:rPr>
          <w:rFonts w:ascii="Times New Roman" w:hAnsi="Times New Roman" w:cs="Times New Roman"/>
          <w:iCs/>
          <w:sz w:val="24"/>
          <w:szCs w:val="24"/>
        </w:rPr>
      </w:pPr>
      <w:r w:rsidRPr="00A53671">
        <w:rPr>
          <w:rFonts w:ascii="Times New Roman" w:hAnsi="Times New Roman" w:cs="Times New Roman"/>
          <w:iCs/>
          <w:sz w:val="24"/>
          <w:szCs w:val="24"/>
        </w:rPr>
        <w:t>Hasonlóan vehetjük példaként a migráció</w:t>
      </w:r>
      <w:r w:rsidR="000B2EF3">
        <w:rPr>
          <w:rFonts w:ascii="Times New Roman" w:hAnsi="Times New Roman" w:cs="Times New Roman"/>
          <w:iCs/>
          <w:sz w:val="24"/>
          <w:szCs w:val="24"/>
        </w:rPr>
        <w:t xml:space="preserve"> </w:t>
      </w:r>
      <w:r w:rsidRPr="00A53671">
        <w:rPr>
          <w:rFonts w:ascii="Times New Roman" w:hAnsi="Times New Roman" w:cs="Times New Roman"/>
          <w:iCs/>
          <w:sz w:val="24"/>
          <w:szCs w:val="24"/>
        </w:rPr>
        <w:t>kérdését is, amely</w:t>
      </w:r>
      <w:r w:rsidR="006B177D">
        <w:rPr>
          <w:rFonts w:ascii="Times New Roman" w:hAnsi="Times New Roman" w:cs="Times New Roman"/>
          <w:iCs/>
          <w:sz w:val="24"/>
          <w:szCs w:val="24"/>
        </w:rPr>
        <w:t xml:space="preserve"> –</w:t>
      </w:r>
      <w:r w:rsidRPr="00A53671">
        <w:rPr>
          <w:rFonts w:ascii="Times New Roman" w:hAnsi="Times New Roman" w:cs="Times New Roman"/>
          <w:iCs/>
          <w:sz w:val="24"/>
          <w:szCs w:val="24"/>
        </w:rPr>
        <w:t xml:space="preserve"> különösen a 2015-2016-os európai migrációs krízist követően</w:t>
      </w:r>
      <w:r w:rsidR="006B177D">
        <w:rPr>
          <w:rFonts w:ascii="Times New Roman" w:hAnsi="Times New Roman" w:cs="Times New Roman"/>
          <w:iCs/>
          <w:sz w:val="24"/>
          <w:szCs w:val="24"/>
        </w:rPr>
        <w:t xml:space="preserve">– </w:t>
      </w:r>
      <w:r w:rsidRPr="00A53671">
        <w:rPr>
          <w:rFonts w:ascii="Times New Roman" w:hAnsi="Times New Roman" w:cs="Times New Roman"/>
          <w:iCs/>
          <w:sz w:val="24"/>
          <w:szCs w:val="24"/>
        </w:rPr>
        <w:t>újra felszínre hozta a (</w:t>
      </w:r>
      <w:proofErr w:type="gramStart"/>
      <w:r w:rsidRPr="00A53671">
        <w:rPr>
          <w:rFonts w:ascii="Times New Roman" w:hAnsi="Times New Roman" w:cs="Times New Roman"/>
          <w:iCs/>
          <w:sz w:val="24"/>
          <w:szCs w:val="24"/>
        </w:rPr>
        <w:t>mi</w:t>
      </w:r>
      <w:r>
        <w:rPr>
          <w:rFonts w:ascii="Times New Roman" w:hAnsi="Times New Roman" w:cs="Times New Roman"/>
          <w:iCs/>
          <w:sz w:val="24"/>
          <w:szCs w:val="24"/>
        </w:rPr>
        <w:t>g</w:t>
      </w:r>
      <w:r w:rsidRPr="00A53671">
        <w:rPr>
          <w:rFonts w:ascii="Times New Roman" w:hAnsi="Times New Roman" w:cs="Times New Roman"/>
          <w:iCs/>
          <w:sz w:val="24"/>
          <w:szCs w:val="24"/>
        </w:rPr>
        <w:t>ráció</w:t>
      </w:r>
      <w:proofErr w:type="gramEnd"/>
      <w:r w:rsidRPr="00A53671">
        <w:rPr>
          <w:rFonts w:ascii="Times New Roman" w:hAnsi="Times New Roman" w:cs="Times New Roman"/>
          <w:iCs/>
          <w:sz w:val="24"/>
          <w:szCs w:val="24"/>
        </w:rPr>
        <w:t xml:space="preserve"> mint) </w:t>
      </w:r>
      <w:r>
        <w:rPr>
          <w:rFonts w:ascii="Times New Roman" w:hAnsi="Times New Roman" w:cs="Times New Roman"/>
          <w:iCs/>
          <w:sz w:val="24"/>
          <w:szCs w:val="24"/>
        </w:rPr>
        <w:t xml:space="preserve">„veszély” és „lehetőség” közti kibékíthetetlen vitát. Ami az előbbit illeti, a migráns – vagy akár a menekült – </w:t>
      </w:r>
      <w:r w:rsidR="003E69AE">
        <w:rPr>
          <w:rFonts w:ascii="Times New Roman" w:hAnsi="Times New Roman" w:cs="Times New Roman"/>
          <w:iCs/>
          <w:sz w:val="24"/>
          <w:szCs w:val="24"/>
        </w:rPr>
        <w:t>alakjával szembeni ellenséges érzésnek számos oka lehet (a terrorizmustól való félelem az egyik). Mégis a modern korban ezt az ellenséges érzést gyakran kapcsolják össze a „változástól” való egyfajta absztrakt félelemmel. A „változás”, ami az idegen (vagyis a migráns) alakjában ölt testet</w:t>
      </w:r>
      <w:r w:rsidR="006B177D">
        <w:rPr>
          <w:rFonts w:ascii="Times New Roman" w:hAnsi="Times New Roman" w:cs="Times New Roman"/>
          <w:iCs/>
          <w:sz w:val="24"/>
          <w:szCs w:val="24"/>
        </w:rPr>
        <w:t xml:space="preserve"> –</w:t>
      </w:r>
      <w:r w:rsidR="003E69AE">
        <w:rPr>
          <w:rFonts w:ascii="Times New Roman" w:hAnsi="Times New Roman" w:cs="Times New Roman"/>
          <w:iCs/>
          <w:sz w:val="24"/>
          <w:szCs w:val="24"/>
        </w:rPr>
        <w:t xml:space="preserve"> akinek érkezése és betagozódása a helyi közösségbe </w:t>
      </w:r>
      <w:r w:rsidR="00414CF3">
        <w:rPr>
          <w:rFonts w:ascii="Times New Roman" w:hAnsi="Times New Roman" w:cs="Times New Roman"/>
          <w:iCs/>
          <w:sz w:val="24"/>
          <w:szCs w:val="24"/>
        </w:rPr>
        <w:t>tekinthető</w:t>
      </w:r>
      <w:r w:rsidR="000B2EF3">
        <w:rPr>
          <w:rFonts w:ascii="Times New Roman" w:hAnsi="Times New Roman" w:cs="Times New Roman"/>
          <w:iCs/>
          <w:sz w:val="24"/>
          <w:szCs w:val="24"/>
        </w:rPr>
        <w:t xml:space="preserve"> </w:t>
      </w:r>
      <w:r w:rsidR="00414CF3">
        <w:rPr>
          <w:rFonts w:ascii="Times New Roman" w:hAnsi="Times New Roman" w:cs="Times New Roman"/>
          <w:iCs/>
          <w:sz w:val="24"/>
          <w:szCs w:val="24"/>
        </w:rPr>
        <w:t xml:space="preserve">fenyegetésnek is </w:t>
      </w:r>
      <w:r w:rsidR="003E69AE">
        <w:rPr>
          <w:rFonts w:ascii="Times New Roman" w:hAnsi="Times New Roman" w:cs="Times New Roman"/>
          <w:iCs/>
          <w:sz w:val="24"/>
          <w:szCs w:val="24"/>
        </w:rPr>
        <w:t xml:space="preserve">a kulturális normákra </w:t>
      </w:r>
      <w:r w:rsidR="00414CF3">
        <w:rPr>
          <w:rFonts w:ascii="Times New Roman" w:hAnsi="Times New Roman" w:cs="Times New Roman"/>
          <w:iCs/>
          <w:sz w:val="24"/>
          <w:szCs w:val="24"/>
        </w:rPr>
        <w:t>és szokásokra nézve</w:t>
      </w:r>
      <w:r w:rsidR="006B177D">
        <w:rPr>
          <w:rFonts w:ascii="Times New Roman" w:hAnsi="Times New Roman" w:cs="Times New Roman"/>
          <w:iCs/>
          <w:sz w:val="24"/>
          <w:szCs w:val="24"/>
        </w:rPr>
        <w:t xml:space="preserve"> – </w:t>
      </w:r>
      <w:r w:rsidR="00414CF3">
        <w:rPr>
          <w:rFonts w:ascii="Times New Roman" w:hAnsi="Times New Roman" w:cs="Times New Roman"/>
          <w:iCs/>
          <w:sz w:val="24"/>
          <w:szCs w:val="24"/>
        </w:rPr>
        <w:t>és</w:t>
      </w:r>
      <w:r w:rsidR="006B177D">
        <w:rPr>
          <w:rFonts w:ascii="Times New Roman" w:hAnsi="Times New Roman" w:cs="Times New Roman"/>
          <w:iCs/>
          <w:sz w:val="24"/>
          <w:szCs w:val="24"/>
        </w:rPr>
        <w:t xml:space="preserve"> a</w:t>
      </w:r>
      <w:r w:rsidR="00414CF3">
        <w:rPr>
          <w:rFonts w:ascii="Times New Roman" w:hAnsi="Times New Roman" w:cs="Times New Roman"/>
          <w:iCs/>
          <w:sz w:val="24"/>
          <w:szCs w:val="24"/>
        </w:rPr>
        <w:t xml:space="preserve"> helyi populáció egyes részeiben sérelemérzet kialakulásához is </w:t>
      </w:r>
      <w:r w:rsidR="006B177D">
        <w:rPr>
          <w:rFonts w:ascii="Times New Roman" w:hAnsi="Times New Roman" w:cs="Times New Roman"/>
          <w:iCs/>
          <w:sz w:val="24"/>
          <w:szCs w:val="24"/>
        </w:rPr>
        <w:t>vezethet</w:t>
      </w:r>
      <w:r w:rsidR="000B2EF3">
        <w:rPr>
          <w:rFonts w:ascii="Times New Roman" w:hAnsi="Times New Roman" w:cs="Times New Roman"/>
          <w:iCs/>
          <w:sz w:val="24"/>
          <w:szCs w:val="24"/>
        </w:rPr>
        <w:t xml:space="preserve"> </w:t>
      </w:r>
      <w:r w:rsidR="00414CF3">
        <w:rPr>
          <w:rFonts w:ascii="Times New Roman" w:hAnsi="Times New Roman" w:cs="Times New Roman"/>
          <w:iCs/>
          <w:sz w:val="24"/>
          <w:szCs w:val="24"/>
        </w:rPr>
        <w:t>ezzel az alakkal szemben.</w:t>
      </w:r>
      <w:r w:rsidR="00D40A31" w:rsidRPr="00A53671">
        <w:rPr>
          <w:rStyle w:val="Lbjegyzet-hivatkozs"/>
          <w:rFonts w:ascii="Times New Roman" w:hAnsi="Times New Roman" w:cs="Times New Roman"/>
          <w:iCs/>
          <w:sz w:val="24"/>
          <w:szCs w:val="24"/>
        </w:rPr>
        <w:footnoteReference w:id="7"/>
      </w:r>
    </w:p>
    <w:p w:rsidR="003B256E" w:rsidRPr="00A53671" w:rsidRDefault="00414CF3" w:rsidP="00A1790F">
      <w:pPr>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A lényeg az, hogy </w:t>
      </w:r>
      <w:r w:rsidR="006B177D">
        <w:rPr>
          <w:rFonts w:ascii="Times New Roman" w:hAnsi="Times New Roman" w:cs="Times New Roman"/>
          <w:iCs/>
          <w:sz w:val="24"/>
          <w:szCs w:val="24"/>
        </w:rPr>
        <w:t xml:space="preserve">– </w:t>
      </w:r>
      <w:r>
        <w:rPr>
          <w:rFonts w:ascii="Times New Roman" w:hAnsi="Times New Roman" w:cs="Times New Roman"/>
          <w:iCs/>
          <w:sz w:val="24"/>
          <w:szCs w:val="24"/>
        </w:rPr>
        <w:t xml:space="preserve">függetlenül a pontos pszichológiai megjelenési formától (gyűlölet, sérelemérzet, félelem, a mások általi elismerés szüksége), melynek kiváltó </w:t>
      </w:r>
      <w:r>
        <w:rPr>
          <w:rFonts w:ascii="Times New Roman" w:hAnsi="Times New Roman" w:cs="Times New Roman"/>
          <w:iCs/>
          <w:sz w:val="24"/>
          <w:szCs w:val="24"/>
        </w:rPr>
        <w:lastRenderedPageBreak/>
        <w:t>indoka a nagyon konkréttól a nagyon elvont</w:t>
      </w:r>
      <w:r w:rsidR="006B177D">
        <w:rPr>
          <w:rFonts w:ascii="Times New Roman" w:hAnsi="Times New Roman" w:cs="Times New Roman"/>
          <w:iCs/>
          <w:sz w:val="24"/>
          <w:szCs w:val="24"/>
        </w:rPr>
        <w:t>ig</w:t>
      </w:r>
      <w:r>
        <w:rPr>
          <w:rFonts w:ascii="Times New Roman" w:hAnsi="Times New Roman" w:cs="Times New Roman"/>
          <w:iCs/>
          <w:sz w:val="24"/>
          <w:szCs w:val="24"/>
        </w:rPr>
        <w:t xml:space="preserve"> igen széles skálán mozoghat</w:t>
      </w:r>
      <w:r w:rsidR="006B177D">
        <w:rPr>
          <w:rFonts w:ascii="Times New Roman" w:hAnsi="Times New Roman" w:cs="Times New Roman"/>
          <w:iCs/>
          <w:sz w:val="24"/>
          <w:szCs w:val="24"/>
        </w:rPr>
        <w:t xml:space="preserve"> – </w:t>
      </w:r>
      <w:r>
        <w:rPr>
          <w:rFonts w:ascii="Times New Roman" w:hAnsi="Times New Roman" w:cs="Times New Roman"/>
          <w:iCs/>
          <w:sz w:val="24"/>
          <w:szCs w:val="24"/>
        </w:rPr>
        <w:t xml:space="preserve">a </w:t>
      </w:r>
      <w:r w:rsidR="00A70C6D">
        <w:rPr>
          <w:rFonts w:ascii="Times New Roman" w:hAnsi="Times New Roman" w:cs="Times New Roman"/>
          <w:iCs/>
          <w:sz w:val="24"/>
          <w:szCs w:val="24"/>
        </w:rPr>
        <w:t>gyűlölet-bűncselekmény</w:t>
      </w:r>
      <w:r w:rsidR="00F031F4">
        <w:rPr>
          <w:rFonts w:ascii="Times New Roman" w:hAnsi="Times New Roman" w:cs="Times New Roman"/>
          <w:iCs/>
          <w:sz w:val="24"/>
          <w:szCs w:val="24"/>
        </w:rPr>
        <w:t xml:space="preserve">ek elsődleges előfeltétele az </w:t>
      </w:r>
      <w:r>
        <w:rPr>
          <w:rFonts w:ascii="Times New Roman" w:hAnsi="Times New Roman" w:cs="Times New Roman"/>
          <w:iCs/>
          <w:sz w:val="24"/>
          <w:szCs w:val="24"/>
        </w:rPr>
        <w:t>előítélet</w:t>
      </w:r>
      <w:r w:rsidR="00F031F4">
        <w:rPr>
          <w:rFonts w:ascii="Times New Roman" w:hAnsi="Times New Roman" w:cs="Times New Roman"/>
          <w:iCs/>
          <w:sz w:val="24"/>
          <w:szCs w:val="24"/>
        </w:rPr>
        <w:t xml:space="preserve">. </w:t>
      </w:r>
      <w:r w:rsidR="006B177D">
        <w:rPr>
          <w:rFonts w:ascii="Times New Roman" w:hAnsi="Times New Roman" w:cs="Times New Roman"/>
          <w:iCs/>
          <w:sz w:val="24"/>
          <w:szCs w:val="24"/>
        </w:rPr>
        <w:t>A</w:t>
      </w:r>
      <w:r w:rsidR="00F031F4">
        <w:rPr>
          <w:rFonts w:ascii="Times New Roman" w:hAnsi="Times New Roman" w:cs="Times New Roman"/>
          <w:iCs/>
          <w:sz w:val="24"/>
          <w:szCs w:val="24"/>
        </w:rPr>
        <w:t xml:space="preserve"> szó sokrétű jelentésének megtartása érdekében tekinthetjük úgy, hogy az előítélet</w:t>
      </w:r>
      <w:r w:rsidR="000B2EF3">
        <w:rPr>
          <w:rFonts w:ascii="Times New Roman" w:hAnsi="Times New Roman" w:cs="Times New Roman"/>
          <w:iCs/>
          <w:sz w:val="24"/>
          <w:szCs w:val="24"/>
        </w:rPr>
        <w:t xml:space="preserve"> </w:t>
      </w:r>
      <w:r w:rsidR="00F031F4" w:rsidRPr="00F031F4">
        <w:rPr>
          <w:rFonts w:ascii="Times New Roman" w:hAnsi="Times New Roman" w:cs="Times New Roman"/>
          <w:i/>
          <w:iCs/>
          <w:sz w:val="24"/>
          <w:szCs w:val="24"/>
        </w:rPr>
        <w:t>„egy csoport tagja</w:t>
      </w:r>
      <w:r w:rsidR="00F031F4">
        <w:rPr>
          <w:rFonts w:ascii="Times New Roman" w:hAnsi="Times New Roman" w:cs="Times New Roman"/>
          <w:i/>
          <w:iCs/>
          <w:sz w:val="24"/>
          <w:szCs w:val="24"/>
        </w:rPr>
        <w:t xml:space="preserve">ival kapcsolatos </w:t>
      </w:r>
      <w:r w:rsidR="00F031F4" w:rsidRPr="00F031F4">
        <w:rPr>
          <w:rFonts w:ascii="Times New Roman" w:hAnsi="Times New Roman" w:cs="Times New Roman"/>
          <w:i/>
          <w:iCs/>
          <w:sz w:val="24"/>
          <w:szCs w:val="24"/>
        </w:rPr>
        <w:t>minden olyan hozzáállás, érzelem vagy viselkedés, amely közvetve vagy közvetlenül valami negatív elemet vagy ellenszenvet tartalmaz az adott csoport iránt”</w:t>
      </w:r>
      <w:r w:rsidR="00A1790F" w:rsidRPr="00F031F4">
        <w:rPr>
          <w:rFonts w:ascii="Times New Roman" w:hAnsi="Times New Roman" w:cs="Times New Roman"/>
          <w:i/>
          <w:sz w:val="24"/>
          <w:szCs w:val="24"/>
        </w:rPr>
        <w:t>.</w:t>
      </w:r>
      <w:r w:rsidR="00BE7F99" w:rsidRPr="00F031F4">
        <w:rPr>
          <w:rStyle w:val="Lbjegyzet-hivatkozs"/>
          <w:rFonts w:ascii="Times New Roman" w:hAnsi="Times New Roman" w:cs="Times New Roman"/>
          <w:i/>
          <w:sz w:val="24"/>
          <w:szCs w:val="24"/>
        </w:rPr>
        <w:footnoteReference w:id="8"/>
      </w:r>
    </w:p>
    <w:p w:rsidR="0079440B" w:rsidRPr="00A53671" w:rsidRDefault="00F031F4" w:rsidP="00242CDD">
      <w:pPr>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Ezzel együtt a „csoport” szó hangsúlyozása kulcsfontosságú a </w:t>
      </w:r>
      <w:r w:rsidR="00A70C6D">
        <w:rPr>
          <w:rFonts w:ascii="Times New Roman" w:hAnsi="Times New Roman" w:cs="Times New Roman"/>
          <w:bCs/>
          <w:iCs/>
          <w:sz w:val="24"/>
          <w:szCs w:val="24"/>
        </w:rPr>
        <w:t>gyűlölet-bűncselekmény</w:t>
      </w:r>
      <w:r>
        <w:rPr>
          <w:rFonts w:ascii="Times New Roman" w:hAnsi="Times New Roman" w:cs="Times New Roman"/>
          <w:bCs/>
          <w:iCs/>
          <w:sz w:val="24"/>
          <w:szCs w:val="24"/>
        </w:rPr>
        <w:t>ek megértésében, és ezért most foglalkoznunk kell a védett tulajdonságok kérdésével.</w:t>
      </w:r>
    </w:p>
    <w:p w:rsidR="00A15260" w:rsidRPr="00A53671" w:rsidRDefault="00A15260" w:rsidP="0079440B">
      <w:pPr>
        <w:jc w:val="both"/>
        <w:rPr>
          <w:rFonts w:ascii="Times New Roman" w:hAnsi="Times New Roman" w:cs="Times New Roman"/>
          <w:bCs/>
          <w:iCs/>
          <w:sz w:val="24"/>
          <w:szCs w:val="24"/>
        </w:rPr>
      </w:pPr>
    </w:p>
    <w:p w:rsidR="0079440B" w:rsidRPr="00A53671" w:rsidRDefault="0079440B" w:rsidP="00113F03">
      <w:pPr>
        <w:pStyle w:val="Cmsor2"/>
      </w:pPr>
      <w:bookmarkStart w:id="3" w:name="_Toc515458772"/>
      <w:r w:rsidRPr="00A53671">
        <w:t xml:space="preserve">1.2 </w:t>
      </w:r>
      <w:r w:rsidR="00F031F4">
        <w:t>Védett tulajdonságok</w:t>
      </w:r>
      <w:bookmarkEnd w:id="3"/>
    </w:p>
    <w:p w:rsidR="00A15260" w:rsidRPr="00A53671" w:rsidRDefault="00A15260" w:rsidP="0079440B">
      <w:pPr>
        <w:jc w:val="both"/>
        <w:rPr>
          <w:rFonts w:ascii="Times New Roman" w:hAnsi="Times New Roman" w:cs="Times New Roman"/>
          <w:iCs/>
          <w:sz w:val="24"/>
          <w:szCs w:val="24"/>
        </w:rPr>
      </w:pPr>
    </w:p>
    <w:p w:rsidR="0079440B" w:rsidRPr="00A53671" w:rsidRDefault="005853A6" w:rsidP="0079440B">
      <w:pPr>
        <w:jc w:val="both"/>
        <w:rPr>
          <w:rFonts w:ascii="Times New Roman" w:hAnsi="Times New Roman" w:cs="Times New Roman"/>
          <w:iCs/>
          <w:sz w:val="24"/>
          <w:szCs w:val="24"/>
        </w:rPr>
      </w:pPr>
      <w:r>
        <w:rPr>
          <w:rFonts w:ascii="Times New Roman" w:hAnsi="Times New Roman" w:cs="Times New Roman"/>
          <w:iCs/>
          <w:sz w:val="24"/>
          <w:szCs w:val="24"/>
        </w:rPr>
        <w:t xml:space="preserve">A védett tulajdonságok az egyéni vagy csoportidentitás létfontosságú elemei. Pontosabban, ezek azok </w:t>
      </w:r>
      <w:r w:rsidR="000B2EF3">
        <w:rPr>
          <w:rFonts w:ascii="Times New Roman" w:hAnsi="Times New Roman" w:cs="Times New Roman"/>
          <w:iCs/>
          <w:sz w:val="24"/>
          <w:szCs w:val="24"/>
        </w:rPr>
        <w:t>az alapvető jellemzők</w:t>
      </w:r>
      <w:r>
        <w:rPr>
          <w:rFonts w:ascii="Times New Roman" w:hAnsi="Times New Roman" w:cs="Times New Roman"/>
          <w:iCs/>
          <w:sz w:val="24"/>
          <w:szCs w:val="24"/>
        </w:rPr>
        <w:t>, amelyek</w:t>
      </w:r>
      <w:r w:rsidR="000B2EF3">
        <w:rPr>
          <w:rFonts w:ascii="Times New Roman" w:hAnsi="Times New Roman" w:cs="Times New Roman"/>
          <w:iCs/>
          <w:sz w:val="24"/>
          <w:szCs w:val="24"/>
        </w:rPr>
        <w:t>et</w:t>
      </w:r>
      <w:r>
        <w:rPr>
          <w:rFonts w:ascii="Times New Roman" w:hAnsi="Times New Roman" w:cs="Times New Roman"/>
          <w:iCs/>
          <w:sz w:val="24"/>
          <w:szCs w:val="24"/>
        </w:rPr>
        <w:t xml:space="preserve"> a csoport tagjaiban közösnek vélünk, és amelyek mentén a csoportokat megkülönböztetjük egymástól. Tulajdonképpen ezek </w:t>
      </w:r>
      <w:r w:rsidR="00856FA4">
        <w:rPr>
          <w:rFonts w:ascii="Times New Roman" w:hAnsi="Times New Roman" w:cs="Times New Roman"/>
          <w:iCs/>
          <w:sz w:val="24"/>
          <w:szCs w:val="24"/>
        </w:rPr>
        <w:t xml:space="preserve">jelentik a </w:t>
      </w:r>
      <w:r>
        <w:rPr>
          <w:rFonts w:ascii="Times New Roman" w:hAnsi="Times New Roman" w:cs="Times New Roman"/>
          <w:iCs/>
          <w:sz w:val="24"/>
          <w:szCs w:val="24"/>
        </w:rPr>
        <w:t>kapcsol</w:t>
      </w:r>
      <w:r w:rsidR="00856FA4">
        <w:rPr>
          <w:rFonts w:ascii="Times New Roman" w:hAnsi="Times New Roman" w:cs="Times New Roman"/>
          <w:iCs/>
          <w:sz w:val="24"/>
          <w:szCs w:val="24"/>
        </w:rPr>
        <w:t>atot</w:t>
      </w:r>
      <w:r>
        <w:rPr>
          <w:rFonts w:ascii="Times New Roman" w:hAnsi="Times New Roman" w:cs="Times New Roman"/>
          <w:iCs/>
          <w:sz w:val="24"/>
          <w:szCs w:val="24"/>
        </w:rPr>
        <w:t xml:space="preserve"> az emberek önazonosság-érzése </w:t>
      </w:r>
      <w:r w:rsidR="006B177D">
        <w:rPr>
          <w:rFonts w:ascii="Times New Roman" w:hAnsi="Times New Roman" w:cs="Times New Roman"/>
          <w:iCs/>
          <w:sz w:val="24"/>
          <w:szCs w:val="24"/>
        </w:rPr>
        <w:t xml:space="preserve">és </w:t>
      </w:r>
      <w:r w:rsidR="00856FA4">
        <w:rPr>
          <w:rFonts w:ascii="Times New Roman" w:hAnsi="Times New Roman" w:cs="Times New Roman"/>
          <w:iCs/>
          <w:sz w:val="24"/>
          <w:szCs w:val="24"/>
        </w:rPr>
        <w:t xml:space="preserve">valahová tartozása között, és ebben az összefüggésben sokféle tulajdonság tartozhat közéjük a nemzetiségtől, az etnikai hovatartozástól, a nyelvtől, </w:t>
      </w:r>
      <w:r w:rsidR="006B177D">
        <w:rPr>
          <w:rFonts w:ascii="Times New Roman" w:hAnsi="Times New Roman" w:cs="Times New Roman"/>
          <w:iCs/>
          <w:sz w:val="24"/>
          <w:szCs w:val="24"/>
        </w:rPr>
        <w:t xml:space="preserve">illetve </w:t>
      </w:r>
      <w:r w:rsidR="00856FA4">
        <w:rPr>
          <w:rFonts w:ascii="Times New Roman" w:hAnsi="Times New Roman" w:cs="Times New Roman"/>
          <w:iCs/>
          <w:sz w:val="24"/>
          <w:szCs w:val="24"/>
        </w:rPr>
        <w:t>a vallástól és a fajtól kezdve, a szexuális irányultságig, a nemig és a fizikai és/vagy mentális fogyatékosságig</w:t>
      </w:r>
      <w:r w:rsidR="00BE7F99" w:rsidRPr="00A53671">
        <w:rPr>
          <w:rFonts w:ascii="Times New Roman" w:hAnsi="Times New Roman" w:cs="Times New Roman"/>
          <w:iCs/>
          <w:sz w:val="24"/>
          <w:szCs w:val="24"/>
        </w:rPr>
        <w:t>.</w:t>
      </w:r>
      <w:r w:rsidR="00BE7F99" w:rsidRPr="00A53671">
        <w:rPr>
          <w:rStyle w:val="Lbjegyzet-hivatkozs"/>
          <w:rFonts w:ascii="Times New Roman" w:hAnsi="Times New Roman" w:cs="Times New Roman"/>
          <w:iCs/>
          <w:sz w:val="24"/>
          <w:szCs w:val="24"/>
        </w:rPr>
        <w:footnoteReference w:id="9"/>
      </w:r>
    </w:p>
    <w:p w:rsidR="00270ADB" w:rsidRPr="00A53671" w:rsidRDefault="00856FA4" w:rsidP="004A1ACB">
      <w:pPr>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A lista természetesen nem teljes, és </w:t>
      </w:r>
      <w:r w:rsidR="006B177D">
        <w:rPr>
          <w:rFonts w:ascii="Times New Roman" w:hAnsi="Times New Roman" w:cs="Times New Roman"/>
          <w:iCs/>
          <w:sz w:val="24"/>
          <w:szCs w:val="24"/>
        </w:rPr>
        <w:t xml:space="preserve">azt is </w:t>
      </w:r>
      <w:r>
        <w:rPr>
          <w:rFonts w:ascii="Times New Roman" w:hAnsi="Times New Roman" w:cs="Times New Roman"/>
          <w:iCs/>
          <w:sz w:val="24"/>
          <w:szCs w:val="24"/>
        </w:rPr>
        <w:t xml:space="preserve">meg kell említeni, hogy különböző államok </w:t>
      </w:r>
      <w:r w:rsidR="000B2EF3">
        <w:rPr>
          <w:rFonts w:ascii="Times New Roman" w:hAnsi="Times New Roman" w:cs="Times New Roman"/>
          <w:iCs/>
          <w:sz w:val="24"/>
          <w:szCs w:val="24"/>
        </w:rPr>
        <w:t xml:space="preserve">eltérő </w:t>
      </w:r>
      <w:r>
        <w:rPr>
          <w:rFonts w:ascii="Times New Roman" w:hAnsi="Times New Roman" w:cs="Times New Roman"/>
          <w:iCs/>
          <w:sz w:val="24"/>
          <w:szCs w:val="24"/>
        </w:rPr>
        <w:t xml:space="preserve">időpontokban különböző rendelkezéseket fogadtak el azt illetően, hogy mi minősül védett tulajdonságnak. A fajt és a vallást például – szemben </w:t>
      </w:r>
      <w:r w:rsidR="000B2EF3">
        <w:rPr>
          <w:rFonts w:ascii="Times New Roman" w:hAnsi="Times New Roman" w:cs="Times New Roman"/>
          <w:iCs/>
          <w:sz w:val="24"/>
          <w:szCs w:val="24"/>
        </w:rPr>
        <w:t xml:space="preserve">például </w:t>
      </w:r>
      <w:r>
        <w:rPr>
          <w:rFonts w:ascii="Times New Roman" w:hAnsi="Times New Roman" w:cs="Times New Roman"/>
          <w:iCs/>
          <w:sz w:val="24"/>
          <w:szCs w:val="24"/>
        </w:rPr>
        <w:t>a szexuális irányultsággal, mely</w:t>
      </w:r>
      <w:r w:rsidR="000B2EF3">
        <w:rPr>
          <w:rFonts w:ascii="Times New Roman" w:hAnsi="Times New Roman" w:cs="Times New Roman"/>
          <w:iCs/>
          <w:sz w:val="24"/>
          <w:szCs w:val="24"/>
        </w:rPr>
        <w:t>n</w:t>
      </w:r>
      <w:r>
        <w:rPr>
          <w:rFonts w:ascii="Times New Roman" w:hAnsi="Times New Roman" w:cs="Times New Roman"/>
          <w:iCs/>
          <w:sz w:val="24"/>
          <w:szCs w:val="24"/>
        </w:rPr>
        <w:t xml:space="preserve">ek az ember személyiségének hasonlóan alapvető jellemzőiként való elismerése később történt meg – történelmileg gyorsabban és szélesebb körben fogadták el az emberek önmeghatározásának </w:t>
      </w:r>
      <w:r w:rsidR="004A1ACB">
        <w:rPr>
          <w:rFonts w:ascii="Times New Roman" w:hAnsi="Times New Roman" w:cs="Times New Roman"/>
          <w:iCs/>
          <w:sz w:val="24"/>
          <w:szCs w:val="24"/>
        </w:rPr>
        <w:t xml:space="preserve">részeként, és azt követően ezek a tulajdonságok gyorsabban és szélesebb körben kerültek be védett tulajdonságként a </w:t>
      </w:r>
      <w:r w:rsidR="00A70C6D">
        <w:rPr>
          <w:rFonts w:ascii="Times New Roman" w:hAnsi="Times New Roman" w:cs="Times New Roman"/>
          <w:iCs/>
          <w:sz w:val="24"/>
          <w:szCs w:val="24"/>
        </w:rPr>
        <w:t>gyűlölet-bűncselekmény</w:t>
      </w:r>
      <w:r w:rsidR="004A1ACB">
        <w:rPr>
          <w:rFonts w:ascii="Times New Roman" w:hAnsi="Times New Roman" w:cs="Times New Roman"/>
          <w:iCs/>
          <w:sz w:val="24"/>
          <w:szCs w:val="24"/>
        </w:rPr>
        <w:t>ekre vonatkozó jogszabályokba</w:t>
      </w:r>
      <w:r w:rsidR="00C34B5D" w:rsidRPr="00A53671">
        <w:rPr>
          <w:rFonts w:ascii="Times New Roman" w:hAnsi="Times New Roman" w:cs="Times New Roman"/>
          <w:iCs/>
          <w:sz w:val="24"/>
          <w:szCs w:val="24"/>
        </w:rPr>
        <w:t>.</w:t>
      </w:r>
      <w:r w:rsidR="00835207" w:rsidRPr="00A53671">
        <w:rPr>
          <w:rStyle w:val="Lbjegyzet-hivatkozs"/>
          <w:rFonts w:ascii="Times New Roman" w:hAnsi="Times New Roman" w:cs="Times New Roman"/>
          <w:iCs/>
          <w:sz w:val="24"/>
          <w:szCs w:val="24"/>
        </w:rPr>
        <w:footnoteReference w:id="10"/>
      </w:r>
      <w:r w:rsidR="000B2EF3">
        <w:rPr>
          <w:rFonts w:ascii="Times New Roman" w:hAnsi="Times New Roman" w:cs="Times New Roman"/>
          <w:iCs/>
          <w:sz w:val="24"/>
          <w:szCs w:val="24"/>
        </w:rPr>
        <w:t xml:space="preserve"> </w:t>
      </w:r>
      <w:r w:rsidR="004A1ACB">
        <w:rPr>
          <w:rFonts w:ascii="Times New Roman" w:hAnsi="Times New Roman" w:cs="Times New Roman"/>
          <w:iCs/>
          <w:sz w:val="24"/>
          <w:szCs w:val="24"/>
        </w:rPr>
        <w:t xml:space="preserve">Ami a „miértet” illeti, az okok változóak, de bizonyos mértékig mindegyik </w:t>
      </w:r>
      <w:r w:rsidR="006B177D">
        <w:rPr>
          <w:rFonts w:ascii="Times New Roman" w:hAnsi="Times New Roman" w:cs="Times New Roman"/>
          <w:iCs/>
          <w:sz w:val="24"/>
          <w:szCs w:val="24"/>
        </w:rPr>
        <w:t xml:space="preserve">összefügg </w:t>
      </w:r>
      <w:r w:rsidR="004A1ACB">
        <w:rPr>
          <w:rFonts w:ascii="Times New Roman" w:hAnsi="Times New Roman" w:cs="Times New Roman"/>
          <w:iCs/>
          <w:sz w:val="24"/>
          <w:szCs w:val="24"/>
        </w:rPr>
        <w:t>az államok és társadalmak időbeli alakulása során változó szociopolitikai sajátosságokkal és szükségletekkel.</w:t>
      </w:r>
    </w:p>
    <w:p w:rsidR="00ED45CB" w:rsidRPr="00A53671" w:rsidRDefault="004A1ACB" w:rsidP="00270ADB">
      <w:pPr>
        <w:ind w:firstLine="720"/>
        <w:jc w:val="both"/>
        <w:rPr>
          <w:rFonts w:ascii="Times New Roman" w:hAnsi="Times New Roman" w:cs="Times New Roman"/>
          <w:iCs/>
          <w:sz w:val="24"/>
          <w:szCs w:val="24"/>
        </w:rPr>
      </w:pPr>
      <w:r w:rsidRPr="006B177D">
        <w:rPr>
          <w:rFonts w:ascii="Times New Roman" w:hAnsi="Times New Roman" w:cs="Times New Roman"/>
          <w:iCs/>
          <w:sz w:val="24"/>
          <w:szCs w:val="24"/>
        </w:rPr>
        <w:t xml:space="preserve">Például –nem </w:t>
      </w:r>
      <w:r w:rsidR="006B177D" w:rsidRPr="006B177D">
        <w:rPr>
          <w:rFonts w:ascii="Times New Roman" w:hAnsi="Times New Roman" w:cs="Times New Roman"/>
          <w:iCs/>
          <w:sz w:val="24"/>
          <w:szCs w:val="24"/>
        </w:rPr>
        <w:t>kis mértékben</w:t>
      </w:r>
      <w:r w:rsidRPr="006B177D">
        <w:rPr>
          <w:rFonts w:ascii="Times New Roman" w:hAnsi="Times New Roman" w:cs="Times New Roman"/>
          <w:iCs/>
          <w:sz w:val="24"/>
          <w:szCs w:val="24"/>
        </w:rPr>
        <w:t xml:space="preserve"> a gyarmatosítás, a rabszolgaság és </w:t>
      </w:r>
      <w:r w:rsidR="008D76B2" w:rsidRPr="006B177D">
        <w:rPr>
          <w:rFonts w:ascii="Times New Roman" w:hAnsi="Times New Roman" w:cs="Times New Roman"/>
          <w:iCs/>
          <w:sz w:val="24"/>
          <w:szCs w:val="24"/>
        </w:rPr>
        <w:t xml:space="preserve">a </w:t>
      </w:r>
      <w:r w:rsidRPr="006B177D">
        <w:rPr>
          <w:rFonts w:ascii="Times New Roman" w:hAnsi="Times New Roman" w:cs="Times New Roman"/>
          <w:iCs/>
          <w:sz w:val="24"/>
          <w:szCs w:val="24"/>
        </w:rPr>
        <w:t xml:space="preserve">fokozatosan a rabszolga-felszabadításhoz vezető ellenállási mozgalmak </w:t>
      </w:r>
      <w:r w:rsidR="008D76B2" w:rsidRPr="006B177D">
        <w:rPr>
          <w:rFonts w:ascii="Times New Roman" w:hAnsi="Times New Roman" w:cs="Times New Roman"/>
          <w:iCs/>
          <w:sz w:val="24"/>
          <w:szCs w:val="24"/>
        </w:rPr>
        <w:t xml:space="preserve">történelme miatt – a faji szegregáció és megkülönböztetés </w:t>
      </w:r>
      <w:r w:rsidR="00021EFA" w:rsidRPr="006B177D">
        <w:rPr>
          <w:rFonts w:ascii="Times New Roman" w:hAnsi="Times New Roman" w:cs="Times New Roman"/>
          <w:iCs/>
          <w:sz w:val="24"/>
          <w:szCs w:val="24"/>
        </w:rPr>
        <w:t xml:space="preserve">kérdése </w:t>
      </w:r>
      <w:r w:rsidR="008D76B2" w:rsidRPr="006B177D">
        <w:rPr>
          <w:rFonts w:ascii="Times New Roman" w:hAnsi="Times New Roman" w:cs="Times New Roman"/>
          <w:iCs/>
          <w:sz w:val="24"/>
          <w:szCs w:val="24"/>
        </w:rPr>
        <w:t xml:space="preserve">sokkal </w:t>
      </w:r>
      <w:r w:rsidR="006B177D" w:rsidRPr="006B177D">
        <w:rPr>
          <w:rFonts w:ascii="Times New Roman" w:hAnsi="Times New Roman" w:cs="Times New Roman"/>
          <w:iCs/>
          <w:sz w:val="24"/>
          <w:szCs w:val="24"/>
        </w:rPr>
        <w:t>hamarabb</w:t>
      </w:r>
      <w:r w:rsidR="008D76B2" w:rsidRPr="006B177D">
        <w:rPr>
          <w:rFonts w:ascii="Times New Roman" w:hAnsi="Times New Roman" w:cs="Times New Roman"/>
          <w:iCs/>
          <w:sz w:val="24"/>
          <w:szCs w:val="24"/>
        </w:rPr>
        <w:t xml:space="preserve"> vált a közösségi élet elítélendő aspektusává, mint a szexuális irányultság alapján történő megkülönböztetés</w:t>
      </w:r>
      <w:r w:rsidR="00021EFA" w:rsidRPr="006B177D">
        <w:rPr>
          <w:rFonts w:ascii="Times New Roman" w:hAnsi="Times New Roman" w:cs="Times New Roman"/>
          <w:iCs/>
          <w:sz w:val="24"/>
          <w:szCs w:val="24"/>
        </w:rPr>
        <w:t xml:space="preserve"> kérdése</w:t>
      </w:r>
      <w:r w:rsidR="008D76B2" w:rsidRPr="006B177D">
        <w:rPr>
          <w:rFonts w:ascii="Times New Roman" w:hAnsi="Times New Roman" w:cs="Times New Roman"/>
          <w:iCs/>
          <w:sz w:val="24"/>
          <w:szCs w:val="24"/>
        </w:rPr>
        <w:t>.</w:t>
      </w:r>
      <w:r w:rsidR="008D76B2">
        <w:rPr>
          <w:rFonts w:ascii="Times New Roman" w:hAnsi="Times New Roman" w:cs="Times New Roman"/>
          <w:iCs/>
          <w:sz w:val="24"/>
          <w:szCs w:val="24"/>
        </w:rPr>
        <w:t xml:space="preserve"> Ez utóbbi valójában csak a 1970-es években erősödött meg a meleg és </w:t>
      </w:r>
      <w:r w:rsidR="008D76B2">
        <w:rPr>
          <w:rFonts w:ascii="Times New Roman" w:hAnsi="Times New Roman" w:cs="Times New Roman"/>
          <w:iCs/>
          <w:sz w:val="24"/>
          <w:szCs w:val="24"/>
        </w:rPr>
        <w:lastRenderedPageBreak/>
        <w:t>leszbikus jogokat követelő tömegmozgalmak megjelenését követően, szemben az előbbivel, melynek jogi gyökereit egészen 19. századig és a polgárhá</w:t>
      </w:r>
      <w:r w:rsidR="00021EFA">
        <w:rPr>
          <w:rFonts w:ascii="Times New Roman" w:hAnsi="Times New Roman" w:cs="Times New Roman"/>
          <w:iCs/>
          <w:sz w:val="24"/>
          <w:szCs w:val="24"/>
        </w:rPr>
        <w:t xml:space="preserve">ború </w:t>
      </w:r>
      <w:proofErr w:type="gramStart"/>
      <w:r w:rsidR="00021EFA">
        <w:rPr>
          <w:rFonts w:ascii="Times New Roman" w:hAnsi="Times New Roman" w:cs="Times New Roman"/>
          <w:iCs/>
          <w:sz w:val="24"/>
          <w:szCs w:val="24"/>
        </w:rPr>
        <w:t>utáni Egyesült Államokig</w:t>
      </w:r>
      <w:proofErr w:type="gramEnd"/>
      <w:r w:rsidR="00021EFA">
        <w:rPr>
          <w:rFonts w:ascii="Times New Roman" w:hAnsi="Times New Roman" w:cs="Times New Roman"/>
          <w:iCs/>
          <w:sz w:val="24"/>
          <w:szCs w:val="24"/>
        </w:rPr>
        <w:t xml:space="preserve"> vissza lehet vezetni</w:t>
      </w:r>
      <w:r w:rsidR="00D8066A" w:rsidRPr="00A53671">
        <w:rPr>
          <w:rFonts w:ascii="Times New Roman" w:hAnsi="Times New Roman" w:cs="Times New Roman"/>
          <w:iCs/>
          <w:sz w:val="24"/>
          <w:szCs w:val="24"/>
        </w:rPr>
        <w:t>.</w:t>
      </w:r>
      <w:r w:rsidR="00835207" w:rsidRPr="00A53671">
        <w:rPr>
          <w:rStyle w:val="Lbjegyzet-hivatkozs"/>
          <w:rFonts w:ascii="Times New Roman" w:hAnsi="Times New Roman" w:cs="Times New Roman"/>
          <w:iCs/>
          <w:sz w:val="24"/>
          <w:szCs w:val="24"/>
        </w:rPr>
        <w:footnoteReference w:id="11"/>
      </w:r>
    </w:p>
    <w:p w:rsidR="0079440B" w:rsidRPr="00A53671" w:rsidRDefault="00626C5F" w:rsidP="0029049B">
      <w:pPr>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További szempont </w:t>
      </w:r>
      <w:r w:rsidR="00021EFA">
        <w:rPr>
          <w:rFonts w:ascii="Times New Roman" w:hAnsi="Times New Roman" w:cs="Times New Roman"/>
          <w:iCs/>
          <w:sz w:val="24"/>
          <w:szCs w:val="24"/>
        </w:rPr>
        <w:t>az egyes államok jogrendszerével kapcsolat</w:t>
      </w:r>
      <w:r>
        <w:rPr>
          <w:rFonts w:ascii="Times New Roman" w:hAnsi="Times New Roman" w:cs="Times New Roman"/>
          <w:iCs/>
          <w:sz w:val="24"/>
          <w:szCs w:val="24"/>
        </w:rPr>
        <w:t>ban</w:t>
      </w:r>
      <w:r w:rsidR="00021EFA">
        <w:rPr>
          <w:rFonts w:ascii="Times New Roman" w:hAnsi="Times New Roman" w:cs="Times New Roman"/>
          <w:iCs/>
          <w:sz w:val="24"/>
          <w:szCs w:val="24"/>
        </w:rPr>
        <w:t>,</w:t>
      </w:r>
      <w:r>
        <w:rPr>
          <w:rFonts w:ascii="Times New Roman" w:hAnsi="Times New Roman" w:cs="Times New Roman"/>
          <w:iCs/>
          <w:sz w:val="24"/>
          <w:szCs w:val="24"/>
        </w:rPr>
        <w:t xml:space="preserve"> hogy</w:t>
      </w:r>
      <w:r w:rsidR="006B177D">
        <w:rPr>
          <w:rFonts w:ascii="Times New Roman" w:hAnsi="Times New Roman" w:cs="Times New Roman"/>
          <w:iCs/>
          <w:sz w:val="24"/>
          <w:szCs w:val="24"/>
        </w:rPr>
        <w:t xml:space="preserve"> nyílt végű vagy </w:t>
      </w:r>
      <w:r>
        <w:rPr>
          <w:rFonts w:ascii="Times New Roman" w:hAnsi="Times New Roman" w:cs="Times New Roman"/>
          <w:iCs/>
          <w:sz w:val="24"/>
          <w:szCs w:val="24"/>
        </w:rPr>
        <w:t>zárt</w:t>
      </w:r>
      <w:r w:rsidR="006B177D">
        <w:rPr>
          <w:rFonts w:ascii="Times New Roman" w:hAnsi="Times New Roman" w:cs="Times New Roman"/>
          <w:iCs/>
          <w:sz w:val="24"/>
          <w:szCs w:val="24"/>
        </w:rPr>
        <w:t xml:space="preserve"> listák</w:t>
      </w:r>
      <w:r>
        <w:rPr>
          <w:rFonts w:ascii="Times New Roman" w:hAnsi="Times New Roman" w:cs="Times New Roman"/>
          <w:iCs/>
          <w:sz w:val="24"/>
          <w:szCs w:val="24"/>
        </w:rPr>
        <w:t>at</w:t>
      </w:r>
      <w:r w:rsidR="006B177D">
        <w:rPr>
          <w:rFonts w:ascii="Times New Roman" w:hAnsi="Times New Roman" w:cs="Times New Roman"/>
          <w:iCs/>
          <w:sz w:val="24"/>
          <w:szCs w:val="24"/>
        </w:rPr>
        <w:t xml:space="preserve"> alkalmaz</w:t>
      </w:r>
      <w:r>
        <w:rPr>
          <w:rFonts w:ascii="Times New Roman" w:hAnsi="Times New Roman" w:cs="Times New Roman"/>
          <w:iCs/>
          <w:sz w:val="24"/>
          <w:szCs w:val="24"/>
        </w:rPr>
        <w:t>nak</w:t>
      </w:r>
      <w:r w:rsidR="000B2EF3">
        <w:rPr>
          <w:rFonts w:ascii="Times New Roman" w:hAnsi="Times New Roman" w:cs="Times New Roman"/>
          <w:iCs/>
          <w:sz w:val="24"/>
          <w:szCs w:val="24"/>
        </w:rPr>
        <w:t xml:space="preserve"> </w:t>
      </w:r>
      <w:r w:rsidR="00021EFA">
        <w:rPr>
          <w:rFonts w:ascii="Times New Roman" w:hAnsi="Times New Roman" w:cs="Times New Roman"/>
          <w:iCs/>
          <w:sz w:val="24"/>
          <w:szCs w:val="24"/>
        </w:rPr>
        <w:t xml:space="preserve">a védett tulajdonságok felsorolásánál. Az első megoldás, noha lehetővé teszi az értelmezés viszonylagos szabadságát, amely megkönnyítheti </w:t>
      </w:r>
      <w:r w:rsidR="0029049B">
        <w:rPr>
          <w:rFonts w:ascii="Times New Roman" w:hAnsi="Times New Roman" w:cs="Times New Roman"/>
          <w:iCs/>
          <w:sz w:val="24"/>
          <w:szCs w:val="24"/>
        </w:rPr>
        <w:t>a védett tulajdonságok társadalmi normák változása szerinti jogi elismerését, általában túl bizonytalan alapot biztosít a védett tulajdonságok értelmezéséhez, és így, mivel megteremti az elméleti lehetőségét annak, hogy minden bűncselekményt ebbe a kategóriába lehessen sorolni, kockáztatja a gyűlölet-bűncselekmények lényegének erodál</w:t>
      </w:r>
      <w:r w:rsidR="006B177D">
        <w:rPr>
          <w:rFonts w:ascii="Times New Roman" w:hAnsi="Times New Roman" w:cs="Times New Roman"/>
          <w:iCs/>
          <w:sz w:val="24"/>
          <w:szCs w:val="24"/>
        </w:rPr>
        <w:t>ód</w:t>
      </w:r>
      <w:r w:rsidR="0029049B">
        <w:rPr>
          <w:rFonts w:ascii="Times New Roman" w:hAnsi="Times New Roman" w:cs="Times New Roman"/>
          <w:iCs/>
          <w:sz w:val="24"/>
          <w:szCs w:val="24"/>
        </w:rPr>
        <w:t>ását. A második viszont, noha a védett kategóriák tekintetében mind a jog</w:t>
      </w:r>
      <w:r w:rsidR="00013FEC">
        <w:rPr>
          <w:rFonts w:ascii="Times New Roman" w:hAnsi="Times New Roman" w:cs="Times New Roman"/>
          <w:iCs/>
          <w:sz w:val="24"/>
          <w:szCs w:val="24"/>
        </w:rPr>
        <w:t>alkalmazó</w:t>
      </w:r>
      <w:r w:rsidR="0029049B">
        <w:rPr>
          <w:rFonts w:ascii="Times New Roman" w:hAnsi="Times New Roman" w:cs="Times New Roman"/>
          <w:iCs/>
          <w:sz w:val="24"/>
          <w:szCs w:val="24"/>
        </w:rPr>
        <w:t xml:space="preserve">k, mind az állampolgárok </w:t>
      </w:r>
      <w:r w:rsidR="006B177D">
        <w:rPr>
          <w:rFonts w:ascii="Times New Roman" w:hAnsi="Times New Roman" w:cs="Times New Roman"/>
          <w:iCs/>
          <w:sz w:val="24"/>
          <w:szCs w:val="24"/>
        </w:rPr>
        <w:t xml:space="preserve">számára </w:t>
      </w:r>
      <w:r w:rsidR="0029049B">
        <w:rPr>
          <w:rFonts w:ascii="Times New Roman" w:hAnsi="Times New Roman" w:cs="Times New Roman"/>
          <w:iCs/>
          <w:sz w:val="24"/>
          <w:szCs w:val="24"/>
        </w:rPr>
        <w:t>a jog</w:t>
      </w:r>
      <w:r w:rsidR="00013FEC">
        <w:rPr>
          <w:rFonts w:ascii="Times New Roman" w:hAnsi="Times New Roman" w:cs="Times New Roman"/>
          <w:iCs/>
          <w:sz w:val="24"/>
          <w:szCs w:val="24"/>
        </w:rPr>
        <w:t>biztonság</w:t>
      </w:r>
      <w:r w:rsidR="0029049B">
        <w:rPr>
          <w:rFonts w:ascii="Times New Roman" w:hAnsi="Times New Roman" w:cs="Times New Roman"/>
          <w:iCs/>
          <w:sz w:val="24"/>
          <w:szCs w:val="24"/>
        </w:rPr>
        <w:t xml:space="preserve"> megalapozását</w:t>
      </w:r>
      <w:r w:rsidR="00013FEC">
        <w:rPr>
          <w:rFonts w:ascii="Times New Roman" w:hAnsi="Times New Roman" w:cs="Times New Roman"/>
          <w:iCs/>
          <w:sz w:val="24"/>
          <w:szCs w:val="24"/>
        </w:rPr>
        <w:t xml:space="preserve"> </w:t>
      </w:r>
      <w:r w:rsidR="0029049B">
        <w:rPr>
          <w:rFonts w:ascii="Times New Roman" w:hAnsi="Times New Roman" w:cs="Times New Roman"/>
          <w:iCs/>
          <w:sz w:val="24"/>
          <w:szCs w:val="24"/>
        </w:rPr>
        <w:t>szolgálja, nehezebbé teszi a változó történelmi feltételek követését, mivel általában olyan merevséget teremt jogi értelembe</w:t>
      </w:r>
      <w:r w:rsidR="000E7927">
        <w:rPr>
          <w:rFonts w:ascii="Times New Roman" w:hAnsi="Times New Roman" w:cs="Times New Roman"/>
          <w:iCs/>
          <w:sz w:val="24"/>
          <w:szCs w:val="24"/>
        </w:rPr>
        <w:t>n</w:t>
      </w:r>
      <w:r w:rsidR="0029049B">
        <w:rPr>
          <w:rFonts w:ascii="Times New Roman" w:hAnsi="Times New Roman" w:cs="Times New Roman"/>
          <w:iCs/>
          <w:sz w:val="24"/>
          <w:szCs w:val="24"/>
        </w:rPr>
        <w:t xml:space="preserve">, amelyet nehéz </w:t>
      </w:r>
      <w:r w:rsidR="0029049B" w:rsidRPr="006B177D">
        <w:rPr>
          <w:rFonts w:ascii="Times New Roman" w:hAnsi="Times New Roman" w:cs="Times New Roman"/>
          <w:iCs/>
          <w:sz w:val="24"/>
          <w:szCs w:val="24"/>
        </w:rPr>
        <w:t>le</w:t>
      </w:r>
      <w:r w:rsidR="006B177D">
        <w:rPr>
          <w:rFonts w:ascii="Times New Roman" w:hAnsi="Times New Roman" w:cs="Times New Roman"/>
          <w:iCs/>
          <w:sz w:val="24"/>
          <w:szCs w:val="24"/>
        </w:rPr>
        <w:t>küzde</w:t>
      </w:r>
      <w:r w:rsidR="0029049B" w:rsidRPr="006B177D">
        <w:rPr>
          <w:rFonts w:ascii="Times New Roman" w:hAnsi="Times New Roman" w:cs="Times New Roman"/>
          <w:iCs/>
          <w:sz w:val="24"/>
          <w:szCs w:val="24"/>
        </w:rPr>
        <w:t>ni</w:t>
      </w:r>
      <w:r w:rsidR="0029049B">
        <w:rPr>
          <w:rFonts w:ascii="Times New Roman" w:hAnsi="Times New Roman" w:cs="Times New Roman"/>
          <w:iCs/>
          <w:sz w:val="24"/>
          <w:szCs w:val="24"/>
        </w:rPr>
        <w:t>.</w:t>
      </w:r>
      <w:r w:rsidR="00950831" w:rsidRPr="00A53671">
        <w:rPr>
          <w:rStyle w:val="Lbjegyzet-hivatkozs"/>
          <w:rFonts w:ascii="Times New Roman" w:hAnsi="Times New Roman" w:cs="Times New Roman"/>
          <w:iCs/>
          <w:sz w:val="24"/>
          <w:szCs w:val="24"/>
        </w:rPr>
        <w:footnoteReference w:id="12"/>
      </w:r>
    </w:p>
    <w:p w:rsidR="0079440B" w:rsidRPr="00A53671" w:rsidRDefault="0029049B" w:rsidP="00542EE6">
      <w:pPr>
        <w:ind w:firstLine="720"/>
        <w:jc w:val="both"/>
        <w:rPr>
          <w:rFonts w:ascii="Times New Roman" w:hAnsi="Times New Roman" w:cs="Times New Roman"/>
          <w:iCs/>
          <w:sz w:val="24"/>
          <w:szCs w:val="24"/>
        </w:rPr>
      </w:pPr>
      <w:r>
        <w:rPr>
          <w:rFonts w:ascii="Times New Roman" w:hAnsi="Times New Roman" w:cs="Times New Roman"/>
          <w:iCs/>
          <w:sz w:val="24"/>
          <w:szCs w:val="24"/>
        </w:rPr>
        <w:t>Ezzel együtt</w:t>
      </w:r>
      <w:r w:rsidR="000E7927">
        <w:rPr>
          <w:rFonts w:ascii="Times New Roman" w:hAnsi="Times New Roman" w:cs="Times New Roman"/>
          <w:iCs/>
          <w:sz w:val="24"/>
          <w:szCs w:val="24"/>
        </w:rPr>
        <w:t xml:space="preserve"> – mivel jelen modulnak távolról sem célja az egyes államok jogrendjeire jellemző különbségek feloldása –, amire ebben a vonatkozásban mindenképpen érdemes emlékezni az az, hogy amellett, hogy az egyes személyek identitásának alapvető részei, a védett tulajdonságok egyszersmind a </w:t>
      </w:r>
      <w:r w:rsidR="000E7927" w:rsidRPr="00542EE6">
        <w:rPr>
          <w:rFonts w:ascii="Times New Roman" w:hAnsi="Times New Roman" w:cs="Times New Roman"/>
          <w:i/>
          <w:iCs/>
          <w:sz w:val="24"/>
          <w:szCs w:val="24"/>
        </w:rPr>
        <w:t xml:space="preserve">„csoportidentitás </w:t>
      </w:r>
      <w:proofErr w:type="gramStart"/>
      <w:r w:rsidR="00542EE6" w:rsidRPr="00542EE6">
        <w:rPr>
          <w:rFonts w:ascii="Times New Roman" w:hAnsi="Times New Roman" w:cs="Times New Roman"/>
          <w:i/>
          <w:iCs/>
          <w:sz w:val="24"/>
          <w:szCs w:val="24"/>
        </w:rPr>
        <w:t>jelzője[</w:t>
      </w:r>
      <w:proofErr w:type="gramEnd"/>
      <w:r w:rsidR="00542EE6" w:rsidRPr="00542EE6">
        <w:rPr>
          <w:rFonts w:ascii="Times New Roman" w:hAnsi="Times New Roman" w:cs="Times New Roman"/>
          <w:i/>
          <w:iCs/>
          <w:sz w:val="24"/>
          <w:szCs w:val="24"/>
        </w:rPr>
        <w:t>ként]”</w:t>
      </w:r>
      <w:r w:rsidR="00542EE6">
        <w:rPr>
          <w:rFonts w:ascii="Times New Roman" w:hAnsi="Times New Roman" w:cs="Times New Roman"/>
          <w:iCs/>
          <w:sz w:val="24"/>
          <w:szCs w:val="24"/>
        </w:rPr>
        <w:t xml:space="preserve"> is funkcionálnak.</w:t>
      </w:r>
      <w:r w:rsidR="00950831" w:rsidRPr="00A53671">
        <w:rPr>
          <w:rStyle w:val="Lbjegyzet-hivatkozs"/>
          <w:rFonts w:ascii="Times New Roman" w:hAnsi="Times New Roman" w:cs="Times New Roman"/>
          <w:iCs/>
          <w:sz w:val="24"/>
          <w:szCs w:val="24"/>
        </w:rPr>
        <w:footnoteReference w:id="13"/>
      </w:r>
      <w:r w:rsidR="00013FEC">
        <w:rPr>
          <w:rFonts w:ascii="Times New Roman" w:hAnsi="Times New Roman" w:cs="Times New Roman"/>
          <w:iCs/>
          <w:sz w:val="24"/>
          <w:szCs w:val="24"/>
        </w:rPr>
        <w:t xml:space="preserve"> </w:t>
      </w:r>
      <w:r w:rsidR="00542EE6">
        <w:rPr>
          <w:rFonts w:ascii="Times New Roman" w:hAnsi="Times New Roman" w:cs="Times New Roman"/>
          <w:iCs/>
          <w:sz w:val="24"/>
          <w:szCs w:val="24"/>
        </w:rPr>
        <w:t>Általában</w:t>
      </w:r>
      <w:r w:rsidR="00013FEC">
        <w:rPr>
          <w:rFonts w:ascii="Times New Roman" w:hAnsi="Times New Roman" w:cs="Times New Roman"/>
          <w:iCs/>
          <w:sz w:val="24"/>
          <w:szCs w:val="24"/>
        </w:rPr>
        <w:t xml:space="preserve"> </w:t>
      </w:r>
      <w:r w:rsidR="00542EE6">
        <w:rPr>
          <w:rFonts w:ascii="Times New Roman" w:hAnsi="Times New Roman" w:cs="Times New Roman"/>
          <w:iCs/>
          <w:sz w:val="24"/>
          <w:szCs w:val="24"/>
        </w:rPr>
        <w:t>ezek a tulajdonságok a személyek ön</w:t>
      </w:r>
      <w:r w:rsidR="00CF24F1">
        <w:rPr>
          <w:rFonts w:ascii="Times New Roman" w:hAnsi="Times New Roman" w:cs="Times New Roman"/>
          <w:iCs/>
          <w:sz w:val="24"/>
          <w:szCs w:val="24"/>
        </w:rPr>
        <w:t xml:space="preserve">azonosságának szerves részeiként és a társadalmon belül valamely konkrét csoporthoz való tartozásuk megkülönböztető elemeként is működnek. Ez az utóbbi, csoporthoz való – valós vagy vélt – tartozás az, ami végül a </w:t>
      </w:r>
      <w:r w:rsidR="00A70C6D">
        <w:rPr>
          <w:rFonts w:ascii="Times New Roman" w:hAnsi="Times New Roman" w:cs="Times New Roman"/>
          <w:iCs/>
          <w:sz w:val="24"/>
          <w:szCs w:val="24"/>
        </w:rPr>
        <w:t>gyűlölet-bűncselekmény</w:t>
      </w:r>
      <w:r w:rsidR="00CF24F1">
        <w:rPr>
          <w:rFonts w:ascii="Times New Roman" w:hAnsi="Times New Roman" w:cs="Times New Roman"/>
          <w:iCs/>
          <w:sz w:val="24"/>
          <w:szCs w:val="24"/>
        </w:rPr>
        <w:t xml:space="preserve"> vagy az elkövető előítéletének </w:t>
      </w:r>
      <w:r w:rsidR="00013FEC">
        <w:rPr>
          <w:rFonts w:ascii="Times New Roman" w:hAnsi="Times New Roman" w:cs="Times New Roman"/>
          <w:iCs/>
          <w:sz w:val="24"/>
          <w:szCs w:val="24"/>
        </w:rPr>
        <w:t>alapja</w:t>
      </w:r>
      <w:r w:rsidR="00CF24F1">
        <w:rPr>
          <w:rFonts w:ascii="Times New Roman" w:hAnsi="Times New Roman" w:cs="Times New Roman"/>
          <w:iCs/>
          <w:sz w:val="24"/>
          <w:szCs w:val="24"/>
        </w:rPr>
        <w:t xml:space="preserve">, és </w:t>
      </w:r>
      <w:proofErr w:type="gramStart"/>
      <w:r w:rsidR="00CF24F1">
        <w:rPr>
          <w:rFonts w:ascii="Times New Roman" w:hAnsi="Times New Roman" w:cs="Times New Roman"/>
          <w:iCs/>
          <w:sz w:val="24"/>
          <w:szCs w:val="24"/>
        </w:rPr>
        <w:t>ezáltal</w:t>
      </w:r>
      <w:proofErr w:type="gramEnd"/>
      <w:r w:rsidR="00CF24F1">
        <w:rPr>
          <w:rFonts w:ascii="Times New Roman" w:hAnsi="Times New Roman" w:cs="Times New Roman"/>
          <w:iCs/>
          <w:sz w:val="24"/>
          <w:szCs w:val="24"/>
        </w:rPr>
        <w:t xml:space="preserve"> az ilyen típusú bűncselekmények második előfeltétele lesz.</w:t>
      </w:r>
    </w:p>
    <w:p w:rsidR="00C11315" w:rsidRPr="00A53671" w:rsidRDefault="00C11315" w:rsidP="0079440B">
      <w:pPr>
        <w:jc w:val="both"/>
        <w:rPr>
          <w:rFonts w:ascii="Times New Roman" w:hAnsi="Times New Roman" w:cs="Times New Roman"/>
          <w:sz w:val="24"/>
          <w:szCs w:val="24"/>
        </w:rPr>
      </w:pPr>
    </w:p>
    <w:p w:rsidR="00091F15" w:rsidRPr="00A53671" w:rsidRDefault="00091F15" w:rsidP="00113F03">
      <w:pPr>
        <w:pStyle w:val="Cmsor2"/>
      </w:pPr>
      <w:bookmarkStart w:id="4" w:name="_Toc515458773"/>
      <w:r w:rsidRPr="00A53671">
        <w:t xml:space="preserve">1.3 </w:t>
      </w:r>
      <w:r w:rsidR="00CF24F1">
        <w:t>A védett tulajdonságok</w:t>
      </w:r>
      <w:r w:rsidR="00013FEC">
        <w:t>hoz kapcsolódó előítéletből fakadó</w:t>
      </w:r>
      <w:r w:rsidR="00CF24F1">
        <w:t xml:space="preserve"> </w:t>
      </w:r>
      <w:r w:rsidR="00F344B1">
        <w:t>bántalmaz</w:t>
      </w:r>
      <w:r w:rsidR="00CF24F1">
        <w:t>ás</w:t>
      </w:r>
      <w:bookmarkEnd w:id="4"/>
    </w:p>
    <w:p w:rsidR="00C11315" w:rsidRPr="00A53671" w:rsidRDefault="00C11315" w:rsidP="00091F15">
      <w:pPr>
        <w:jc w:val="both"/>
        <w:rPr>
          <w:rFonts w:ascii="Times New Roman" w:hAnsi="Times New Roman" w:cs="Times New Roman"/>
          <w:iCs/>
          <w:sz w:val="24"/>
          <w:szCs w:val="24"/>
        </w:rPr>
      </w:pPr>
    </w:p>
    <w:p w:rsidR="00091F15" w:rsidRPr="00A53671" w:rsidRDefault="00CF24F1" w:rsidP="00297811">
      <w:pPr>
        <w:jc w:val="both"/>
        <w:rPr>
          <w:rFonts w:ascii="Times New Roman" w:hAnsi="Times New Roman" w:cs="Times New Roman"/>
          <w:iCs/>
          <w:sz w:val="24"/>
          <w:szCs w:val="24"/>
        </w:rPr>
      </w:pPr>
      <w:r>
        <w:rPr>
          <w:rFonts w:ascii="Times New Roman" w:hAnsi="Times New Roman" w:cs="Times New Roman"/>
          <w:iCs/>
          <w:sz w:val="24"/>
          <w:szCs w:val="24"/>
        </w:rPr>
        <w:t xml:space="preserve">Ezen a ponton átfogalmazhatjuk az eddigi definíciónkat, és kijelenthetjük, hogy a </w:t>
      </w:r>
      <w:r w:rsidR="00A70C6D">
        <w:rPr>
          <w:rFonts w:ascii="Times New Roman" w:hAnsi="Times New Roman" w:cs="Times New Roman"/>
          <w:iCs/>
          <w:sz w:val="24"/>
          <w:szCs w:val="24"/>
        </w:rPr>
        <w:t>gyűlölet-bűncselekmény</w:t>
      </w:r>
      <w:r>
        <w:rPr>
          <w:rFonts w:ascii="Times New Roman" w:hAnsi="Times New Roman" w:cs="Times New Roman"/>
          <w:iCs/>
          <w:sz w:val="24"/>
          <w:szCs w:val="24"/>
        </w:rPr>
        <w:t>ek olyan bűncs</w:t>
      </w:r>
      <w:r w:rsidR="00951EA5">
        <w:rPr>
          <w:rFonts w:ascii="Times New Roman" w:hAnsi="Times New Roman" w:cs="Times New Roman"/>
          <w:iCs/>
          <w:sz w:val="24"/>
          <w:szCs w:val="24"/>
        </w:rPr>
        <w:t xml:space="preserve">elekmények, amelyeket valamely egyénekkel </w:t>
      </w:r>
      <w:r w:rsidR="00951EA5">
        <w:rPr>
          <w:rFonts w:ascii="Times New Roman" w:hAnsi="Times New Roman" w:cs="Times New Roman"/>
          <w:iCs/>
          <w:sz w:val="24"/>
          <w:szCs w:val="24"/>
        </w:rPr>
        <w:lastRenderedPageBreak/>
        <w:t xml:space="preserve">szemben, a társadalom bizonyos csoportjaihoz való vélt vagy valós tartozás alapján kialakult előítélet szélsőséges formája </w:t>
      </w:r>
      <w:r w:rsidR="00CB7060">
        <w:rPr>
          <w:rFonts w:ascii="Times New Roman" w:hAnsi="Times New Roman" w:cs="Times New Roman"/>
          <w:iCs/>
          <w:sz w:val="24"/>
          <w:szCs w:val="24"/>
        </w:rPr>
        <w:t>(</w:t>
      </w:r>
      <w:r w:rsidR="00951EA5">
        <w:rPr>
          <w:rFonts w:ascii="Times New Roman" w:hAnsi="Times New Roman" w:cs="Times New Roman"/>
          <w:iCs/>
          <w:sz w:val="24"/>
          <w:szCs w:val="24"/>
        </w:rPr>
        <w:t>szélsőséges abban az értelemben, hogy a megjelenési formája erőszakos</w:t>
      </w:r>
      <w:r w:rsidR="00CB7060">
        <w:rPr>
          <w:rFonts w:ascii="Times New Roman" w:hAnsi="Times New Roman" w:cs="Times New Roman"/>
          <w:iCs/>
          <w:sz w:val="24"/>
          <w:szCs w:val="24"/>
        </w:rPr>
        <w:t xml:space="preserve">) </w:t>
      </w:r>
      <w:r w:rsidR="00951EA5">
        <w:rPr>
          <w:rFonts w:ascii="Times New Roman" w:hAnsi="Times New Roman" w:cs="Times New Roman"/>
          <w:iCs/>
          <w:sz w:val="24"/>
          <w:szCs w:val="24"/>
        </w:rPr>
        <w:t>vált ki. A csoporthoz való tartozásra az utal, hogy az áldozat alapvető (védett) tulajdonságok együttesét, és így egy bizonyos identitást, mutat</w:t>
      </w:r>
      <w:r w:rsidR="00E41B81">
        <w:rPr>
          <w:rFonts w:ascii="Times New Roman" w:hAnsi="Times New Roman" w:cs="Times New Roman"/>
          <w:iCs/>
          <w:sz w:val="24"/>
          <w:szCs w:val="24"/>
        </w:rPr>
        <w:t xml:space="preserve">. Mit jelent ez a </w:t>
      </w:r>
      <w:r w:rsidR="00A70C6D">
        <w:rPr>
          <w:rFonts w:ascii="Times New Roman" w:hAnsi="Times New Roman" w:cs="Times New Roman"/>
          <w:iCs/>
          <w:sz w:val="24"/>
          <w:szCs w:val="24"/>
        </w:rPr>
        <w:t>gyűlölet-bűncselekmény</w:t>
      </w:r>
      <w:r w:rsidR="00E41B81">
        <w:rPr>
          <w:rFonts w:ascii="Times New Roman" w:hAnsi="Times New Roman" w:cs="Times New Roman"/>
          <w:iCs/>
          <w:sz w:val="24"/>
          <w:szCs w:val="24"/>
        </w:rPr>
        <w:t>ek feltárása szempontjából?</w:t>
      </w:r>
    </w:p>
    <w:p w:rsidR="00D27213" w:rsidRPr="00A53671" w:rsidRDefault="000752FA" w:rsidP="000752FA">
      <w:pPr>
        <w:ind w:firstLine="720"/>
        <w:jc w:val="both"/>
        <w:rPr>
          <w:rFonts w:ascii="Times New Roman" w:hAnsi="Times New Roman" w:cs="Times New Roman"/>
          <w:iCs/>
          <w:sz w:val="24"/>
          <w:szCs w:val="24"/>
        </w:rPr>
      </w:pPr>
      <w:r>
        <w:rPr>
          <w:rFonts w:ascii="Times New Roman" w:hAnsi="Times New Roman" w:cs="Times New Roman"/>
          <w:iCs/>
          <w:sz w:val="24"/>
          <w:szCs w:val="24"/>
        </w:rPr>
        <w:t>Elsősorban</w:t>
      </w:r>
      <w:r w:rsidR="00E41B81">
        <w:rPr>
          <w:rFonts w:ascii="Times New Roman" w:hAnsi="Times New Roman" w:cs="Times New Roman"/>
          <w:iCs/>
          <w:sz w:val="24"/>
          <w:szCs w:val="24"/>
        </w:rPr>
        <w:t xml:space="preserve"> azt, hogy a </w:t>
      </w:r>
      <w:r w:rsidR="00A70C6D">
        <w:rPr>
          <w:rFonts w:ascii="Times New Roman" w:hAnsi="Times New Roman" w:cs="Times New Roman"/>
          <w:iCs/>
          <w:sz w:val="24"/>
          <w:szCs w:val="24"/>
        </w:rPr>
        <w:t>gyűlölet-bűncselekmény</w:t>
      </w:r>
      <w:r w:rsidR="00E41B81">
        <w:rPr>
          <w:rFonts w:ascii="Times New Roman" w:hAnsi="Times New Roman" w:cs="Times New Roman"/>
          <w:iCs/>
          <w:sz w:val="24"/>
          <w:szCs w:val="24"/>
        </w:rPr>
        <w:t xml:space="preserve">ek üldözése során az embernek nem feltétlenül az áldozat identitásának azt az egy alapvető aspektusát kell megpróbálni feltárni, amely magát a </w:t>
      </w:r>
      <w:r w:rsidR="00A70C6D">
        <w:rPr>
          <w:rFonts w:ascii="Times New Roman" w:hAnsi="Times New Roman" w:cs="Times New Roman"/>
          <w:iCs/>
          <w:sz w:val="24"/>
          <w:szCs w:val="24"/>
        </w:rPr>
        <w:t>gyűlölet-bűncselekmény</w:t>
      </w:r>
      <w:r w:rsidR="00E41B81">
        <w:rPr>
          <w:rFonts w:ascii="Times New Roman" w:hAnsi="Times New Roman" w:cs="Times New Roman"/>
          <w:iCs/>
          <w:sz w:val="24"/>
          <w:szCs w:val="24"/>
        </w:rPr>
        <w:t xml:space="preserve">t kiváltotta. Ahogyan az egyéni identitás, úgy a csoportidentitás sem monolitikus, hanem sokféle és számos jellemzőből áll össze, amelyek az észlelt összességet alkotják. Például a világ sok táján a vallás alapvető részét alkotja az etnikai és nemzeti identitásnak, és így időnként elválaszthatatlan is attól. Ugyanezt elmondhatjuk természetesen a nyelvről is, amely a nemzetállamok </w:t>
      </w:r>
      <w:r>
        <w:rPr>
          <w:rFonts w:ascii="Times New Roman" w:hAnsi="Times New Roman" w:cs="Times New Roman"/>
          <w:iCs/>
          <w:sz w:val="24"/>
          <w:szCs w:val="24"/>
        </w:rPr>
        <w:t>kialakulásának feltételeként par excellence attribútuma az etnikai és nemzeti identitásnak és hovatartozásnak.</w:t>
      </w:r>
      <w:r w:rsidR="00911459" w:rsidRPr="00A53671">
        <w:rPr>
          <w:rStyle w:val="Lbjegyzet-hivatkozs"/>
          <w:rFonts w:ascii="Times New Roman" w:hAnsi="Times New Roman" w:cs="Times New Roman"/>
          <w:iCs/>
          <w:sz w:val="24"/>
          <w:szCs w:val="24"/>
        </w:rPr>
        <w:footnoteReference w:id="14"/>
      </w:r>
      <w:r w:rsidR="00013FEC">
        <w:rPr>
          <w:rFonts w:ascii="Times New Roman" w:hAnsi="Times New Roman" w:cs="Times New Roman"/>
          <w:iCs/>
          <w:sz w:val="24"/>
          <w:szCs w:val="24"/>
        </w:rPr>
        <w:t xml:space="preserve"> </w:t>
      </w:r>
      <w:r>
        <w:rPr>
          <w:rFonts w:ascii="Times New Roman" w:hAnsi="Times New Roman" w:cs="Times New Roman"/>
          <w:iCs/>
          <w:sz w:val="24"/>
          <w:szCs w:val="24"/>
        </w:rPr>
        <w:t xml:space="preserve">A védett tulajdonságoknak ez az átfedése és egymást kiegészítő volta viszont azt jelenti, hogy az egyénekből azért is válhatnak áldozatok, mert a jellemző tulajdonságoknak (pl. nemzetiség és vallás) bizonyos kombinációját mutatják, ami a megfigyelések szerint az Egyesült Királyságban az utóbbi években elkövetett </w:t>
      </w:r>
      <w:r w:rsidR="00A70C6D">
        <w:rPr>
          <w:rFonts w:ascii="Times New Roman" w:hAnsi="Times New Roman" w:cs="Times New Roman"/>
          <w:iCs/>
          <w:sz w:val="24"/>
          <w:szCs w:val="24"/>
        </w:rPr>
        <w:t>gyűlölet-bűncselekmény</w:t>
      </w:r>
      <w:r>
        <w:rPr>
          <w:rFonts w:ascii="Times New Roman" w:hAnsi="Times New Roman" w:cs="Times New Roman"/>
          <w:iCs/>
          <w:sz w:val="24"/>
          <w:szCs w:val="24"/>
        </w:rPr>
        <w:t>ek nagyjából 50 %-ának az esetében igaz.</w:t>
      </w:r>
      <w:r w:rsidR="00911459" w:rsidRPr="00A53671">
        <w:rPr>
          <w:rStyle w:val="Lbjegyzet-hivatkozs"/>
          <w:rFonts w:ascii="Times New Roman" w:hAnsi="Times New Roman" w:cs="Times New Roman"/>
          <w:iCs/>
          <w:sz w:val="24"/>
          <w:szCs w:val="24"/>
        </w:rPr>
        <w:footnoteReference w:id="15"/>
      </w:r>
    </w:p>
    <w:p w:rsidR="00F344B1" w:rsidRDefault="000752FA" w:rsidP="00204DB2">
      <w:pPr>
        <w:ind w:firstLine="720"/>
        <w:jc w:val="both"/>
        <w:rPr>
          <w:rFonts w:ascii="Times New Roman" w:hAnsi="Times New Roman" w:cs="Times New Roman"/>
          <w:iCs/>
          <w:sz w:val="24"/>
          <w:szCs w:val="24"/>
        </w:rPr>
      </w:pPr>
      <w:r>
        <w:rPr>
          <w:rFonts w:ascii="Times New Roman" w:hAnsi="Times New Roman" w:cs="Times New Roman"/>
          <w:iCs/>
          <w:sz w:val="24"/>
          <w:szCs w:val="24"/>
        </w:rPr>
        <w:t>Másodsorban a „[g</w:t>
      </w:r>
      <w:proofErr w:type="gramStart"/>
      <w:r>
        <w:rPr>
          <w:rFonts w:ascii="Times New Roman" w:hAnsi="Times New Roman" w:cs="Times New Roman"/>
          <w:iCs/>
          <w:sz w:val="24"/>
          <w:szCs w:val="24"/>
        </w:rPr>
        <w:t>]</w:t>
      </w:r>
      <w:proofErr w:type="spellStart"/>
      <w:r>
        <w:rPr>
          <w:rFonts w:ascii="Times New Roman" w:hAnsi="Times New Roman" w:cs="Times New Roman"/>
          <w:iCs/>
          <w:sz w:val="24"/>
          <w:szCs w:val="24"/>
        </w:rPr>
        <w:t>yűlölet</w:t>
      </w:r>
      <w:r w:rsidR="002E5157">
        <w:rPr>
          <w:rFonts w:ascii="Times New Roman" w:hAnsi="Times New Roman" w:cs="Times New Roman"/>
          <w:iCs/>
          <w:sz w:val="24"/>
          <w:szCs w:val="24"/>
        </w:rPr>
        <w:t>-</w:t>
      </w:r>
      <w:r>
        <w:rPr>
          <w:rFonts w:ascii="Times New Roman" w:hAnsi="Times New Roman" w:cs="Times New Roman"/>
          <w:iCs/>
          <w:sz w:val="24"/>
          <w:szCs w:val="24"/>
        </w:rPr>
        <w:t>bűncselekmények</w:t>
      </w:r>
      <w:proofErr w:type="spellEnd"/>
      <w:proofErr w:type="gramEnd"/>
      <w:r>
        <w:rPr>
          <w:rFonts w:ascii="Times New Roman" w:hAnsi="Times New Roman" w:cs="Times New Roman"/>
          <w:iCs/>
          <w:sz w:val="24"/>
          <w:szCs w:val="24"/>
        </w:rPr>
        <w:t xml:space="preserve"> nem vákuumban történnek”</w:t>
      </w:r>
      <w:r w:rsidR="00091F15" w:rsidRPr="00A53671">
        <w:rPr>
          <w:rFonts w:ascii="Times New Roman" w:hAnsi="Times New Roman" w:cs="Times New Roman"/>
          <w:iCs/>
          <w:sz w:val="24"/>
          <w:szCs w:val="24"/>
        </w:rPr>
        <w:t>.</w:t>
      </w:r>
      <w:r w:rsidR="00911459" w:rsidRPr="00A53671">
        <w:rPr>
          <w:rStyle w:val="Lbjegyzet-hivatkozs"/>
          <w:rFonts w:ascii="Times New Roman" w:hAnsi="Times New Roman" w:cs="Times New Roman"/>
          <w:iCs/>
          <w:sz w:val="24"/>
          <w:szCs w:val="24"/>
        </w:rPr>
        <w:footnoteReference w:id="16"/>
      </w:r>
      <w:r w:rsidR="00013FEC">
        <w:rPr>
          <w:rFonts w:ascii="Times New Roman" w:hAnsi="Times New Roman" w:cs="Times New Roman"/>
          <w:iCs/>
          <w:sz w:val="24"/>
          <w:szCs w:val="24"/>
        </w:rPr>
        <w:t xml:space="preserve"> </w:t>
      </w:r>
      <w:r w:rsidR="00F344B1">
        <w:rPr>
          <w:rFonts w:ascii="Times New Roman" w:hAnsi="Times New Roman" w:cs="Times New Roman"/>
          <w:iCs/>
          <w:sz w:val="24"/>
          <w:szCs w:val="24"/>
        </w:rPr>
        <w:t>Noha az őket lehetővé tévő időhöz kötött, halmozódó feltételek vizsgálata messze meghaladja a jelen elemzés kereteit,</w:t>
      </w:r>
      <w:r w:rsidR="00CB7060">
        <w:rPr>
          <w:rFonts w:ascii="Times New Roman" w:hAnsi="Times New Roman" w:cs="Times New Roman"/>
          <w:iCs/>
          <w:sz w:val="24"/>
          <w:szCs w:val="24"/>
        </w:rPr>
        <w:t xml:space="preserve"> azt fontos leszögezni, hogy</w:t>
      </w:r>
      <w:r w:rsidR="00F344B1">
        <w:rPr>
          <w:rFonts w:ascii="Times New Roman" w:hAnsi="Times New Roman" w:cs="Times New Roman"/>
          <w:iCs/>
          <w:sz w:val="24"/>
          <w:szCs w:val="24"/>
        </w:rPr>
        <w:t xml:space="preserve"> az előítéletek – és ez igaz az előítéleteknek arra a szélsőséges formájára is, amely </w:t>
      </w:r>
      <w:r w:rsidR="00A70C6D">
        <w:rPr>
          <w:rFonts w:ascii="Times New Roman" w:hAnsi="Times New Roman" w:cs="Times New Roman"/>
          <w:iCs/>
          <w:sz w:val="24"/>
          <w:szCs w:val="24"/>
        </w:rPr>
        <w:t>gyűlölet-bűncselekmény</w:t>
      </w:r>
      <w:r w:rsidR="00F344B1">
        <w:rPr>
          <w:rFonts w:ascii="Times New Roman" w:hAnsi="Times New Roman" w:cs="Times New Roman"/>
          <w:iCs/>
          <w:sz w:val="24"/>
          <w:szCs w:val="24"/>
        </w:rPr>
        <w:t xml:space="preserve"> elkövetéséhez vezethet – nem egyik napról a másikra vernek gyökeret</w:t>
      </w:r>
      <w:r w:rsidR="00FE7416" w:rsidRPr="00A53671">
        <w:rPr>
          <w:rFonts w:ascii="Times New Roman" w:hAnsi="Times New Roman" w:cs="Times New Roman"/>
          <w:iCs/>
          <w:sz w:val="24"/>
          <w:szCs w:val="24"/>
        </w:rPr>
        <w:t>.</w:t>
      </w:r>
      <w:r w:rsidR="00911459" w:rsidRPr="00A53671">
        <w:rPr>
          <w:rStyle w:val="Lbjegyzet-hivatkozs"/>
          <w:rFonts w:ascii="Times New Roman" w:hAnsi="Times New Roman" w:cs="Times New Roman"/>
          <w:iCs/>
          <w:sz w:val="24"/>
          <w:szCs w:val="24"/>
        </w:rPr>
        <w:footnoteReference w:id="17"/>
      </w:r>
      <w:r w:rsidR="007130AB">
        <w:rPr>
          <w:rFonts w:ascii="Times New Roman" w:hAnsi="Times New Roman" w:cs="Times New Roman"/>
          <w:iCs/>
          <w:sz w:val="24"/>
          <w:szCs w:val="24"/>
        </w:rPr>
        <w:t xml:space="preserve"> </w:t>
      </w:r>
      <w:r w:rsidR="00F344B1">
        <w:rPr>
          <w:rFonts w:ascii="Times New Roman" w:hAnsi="Times New Roman" w:cs="Times New Roman"/>
          <w:iCs/>
          <w:sz w:val="24"/>
          <w:szCs w:val="24"/>
        </w:rPr>
        <w:t xml:space="preserve">Ugyanezen okból a </w:t>
      </w:r>
      <w:r w:rsidR="00A70C6D">
        <w:rPr>
          <w:rFonts w:ascii="Times New Roman" w:hAnsi="Times New Roman" w:cs="Times New Roman"/>
          <w:iCs/>
          <w:sz w:val="24"/>
          <w:szCs w:val="24"/>
        </w:rPr>
        <w:t>gyűlölet-bűncselekmény</w:t>
      </w:r>
      <w:r w:rsidR="00F344B1">
        <w:rPr>
          <w:rFonts w:ascii="Times New Roman" w:hAnsi="Times New Roman" w:cs="Times New Roman"/>
          <w:iCs/>
          <w:sz w:val="24"/>
          <w:szCs w:val="24"/>
        </w:rPr>
        <w:t xml:space="preserve">ek sem szükségszerűen korlátozódnak az </w:t>
      </w:r>
      <w:proofErr w:type="gramStart"/>
      <w:r w:rsidR="00F344B1">
        <w:rPr>
          <w:rFonts w:ascii="Times New Roman" w:hAnsi="Times New Roman" w:cs="Times New Roman"/>
          <w:iCs/>
          <w:sz w:val="24"/>
          <w:szCs w:val="24"/>
        </w:rPr>
        <w:t>áldozat(</w:t>
      </w:r>
      <w:proofErr w:type="gramEnd"/>
      <w:r w:rsidR="00F344B1">
        <w:rPr>
          <w:rFonts w:ascii="Times New Roman" w:hAnsi="Times New Roman" w:cs="Times New Roman"/>
          <w:iCs/>
          <w:sz w:val="24"/>
          <w:szCs w:val="24"/>
        </w:rPr>
        <w:t>ok) egyszeri bántalmazására, amely tény szükségessé teszi megelőző intézkedések bevezetését a hasonló cselekmények jövőbeni ismétlődésének elkerülésére. A következő esetben például a</w:t>
      </w:r>
      <w:r w:rsidR="00CE140A">
        <w:rPr>
          <w:rFonts w:ascii="Times New Roman" w:hAnsi="Times New Roman" w:cs="Times New Roman"/>
          <w:iCs/>
          <w:sz w:val="24"/>
          <w:szCs w:val="24"/>
        </w:rPr>
        <w:t>z áldozatot nyilvánvalóan vallási identitása miatt támadták meg több alkalommal</w:t>
      </w:r>
      <w:r w:rsidR="00CB7060">
        <w:rPr>
          <w:rFonts w:ascii="Times New Roman" w:hAnsi="Times New Roman" w:cs="Times New Roman"/>
          <w:iCs/>
          <w:sz w:val="24"/>
          <w:szCs w:val="24"/>
        </w:rPr>
        <w:t xml:space="preserve"> is</w:t>
      </w:r>
      <w:r w:rsidR="00CE140A">
        <w:rPr>
          <w:rFonts w:ascii="Times New Roman" w:hAnsi="Times New Roman" w:cs="Times New Roman"/>
          <w:iCs/>
          <w:sz w:val="24"/>
          <w:szCs w:val="24"/>
        </w:rPr>
        <w:t>:</w:t>
      </w:r>
    </w:p>
    <w:p w:rsidR="00115F69" w:rsidRPr="00A53671" w:rsidRDefault="00115F69" w:rsidP="00204DB2">
      <w:pPr>
        <w:ind w:firstLine="720"/>
        <w:jc w:val="both"/>
        <w:rPr>
          <w:rFonts w:ascii="Times New Roman" w:hAnsi="Times New Roman" w:cs="Times New Roman"/>
          <w:iCs/>
          <w:sz w:val="24"/>
          <w:szCs w:val="24"/>
        </w:rPr>
      </w:pPr>
    </w:p>
    <w:tbl>
      <w:tblPr>
        <w:tblStyle w:val="MediumGrid1-Accent51"/>
        <w:tblW w:w="0" w:type="auto"/>
        <w:tblLook w:val="04A0" w:firstRow="1" w:lastRow="0" w:firstColumn="1" w:lastColumn="0" w:noHBand="0" w:noVBand="1"/>
      </w:tblPr>
      <w:tblGrid>
        <w:gridCol w:w="8440"/>
      </w:tblGrid>
      <w:tr w:rsidR="00FE7416" w:rsidRPr="00A53671" w:rsidTr="00D23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0" w:type="dxa"/>
          </w:tcPr>
          <w:p w:rsidR="00FE7416" w:rsidRPr="00A53671" w:rsidRDefault="00CE140A" w:rsidP="00D231D8">
            <w:pPr>
              <w:contextualSpacing/>
              <w:jc w:val="both"/>
              <w:rPr>
                <w:rFonts w:ascii="Verdana" w:eastAsia="MS Mincho" w:hAnsi="Verdana" w:cs="Times New Roman"/>
                <w:b w:val="0"/>
                <w:bCs w:val="0"/>
                <w:iCs/>
                <w:color w:val="943634"/>
                <w:sz w:val="19"/>
                <w:szCs w:val="19"/>
                <w:lang w:val="hu-HU"/>
              </w:rPr>
            </w:pPr>
            <w:r>
              <w:rPr>
                <w:rFonts w:ascii="Verdana" w:eastAsia="MS Mincho" w:hAnsi="Verdana" w:cs="Times New Roman"/>
                <w:b w:val="0"/>
                <w:color w:val="943634"/>
                <w:sz w:val="19"/>
                <w:szCs w:val="19"/>
                <w:lang w:val="hu-HU"/>
              </w:rPr>
              <w:t>Emberi Jogok Európai Bírósága</w:t>
            </w:r>
            <w:r w:rsidR="00FE7416" w:rsidRPr="00A53671">
              <w:rPr>
                <w:rFonts w:ascii="Verdana" w:eastAsia="MS Mincho" w:hAnsi="Verdana" w:cs="Times New Roman"/>
                <w:b w:val="0"/>
                <w:color w:val="943634"/>
                <w:sz w:val="19"/>
                <w:szCs w:val="19"/>
                <w:lang w:val="hu-HU"/>
              </w:rPr>
              <w:t xml:space="preserve">, </w:t>
            </w:r>
            <w:r w:rsidR="00FE7416" w:rsidRPr="00A53671">
              <w:rPr>
                <w:rFonts w:ascii="Verdana" w:eastAsia="MS Mincho" w:hAnsi="Verdana" w:cs="Times New Roman"/>
                <w:b w:val="0"/>
                <w:iCs/>
                <w:color w:val="943634"/>
                <w:sz w:val="19"/>
                <w:szCs w:val="19"/>
                <w:lang w:val="hu-HU"/>
              </w:rPr>
              <w:t xml:space="preserve">MILANOVIĆ </w:t>
            </w:r>
            <w:r>
              <w:rPr>
                <w:rFonts w:ascii="Verdana" w:eastAsia="MS Mincho" w:hAnsi="Verdana" w:cs="Times New Roman"/>
                <w:b w:val="0"/>
                <w:iCs/>
                <w:color w:val="943634"/>
                <w:sz w:val="19"/>
                <w:szCs w:val="19"/>
                <w:lang w:val="hu-HU"/>
              </w:rPr>
              <w:t>kontra</w:t>
            </w:r>
            <w:r w:rsidR="00FE7416" w:rsidRPr="00A53671">
              <w:rPr>
                <w:rFonts w:ascii="Verdana" w:eastAsia="MS Mincho" w:hAnsi="Verdana" w:cs="Times New Roman"/>
                <w:b w:val="0"/>
                <w:iCs/>
                <w:color w:val="943634"/>
                <w:sz w:val="19"/>
                <w:szCs w:val="19"/>
                <w:lang w:val="hu-HU"/>
              </w:rPr>
              <w:t xml:space="preserve"> S</w:t>
            </w:r>
            <w:r>
              <w:rPr>
                <w:rFonts w:ascii="Verdana" w:eastAsia="MS Mincho" w:hAnsi="Verdana" w:cs="Times New Roman"/>
                <w:b w:val="0"/>
                <w:iCs/>
                <w:color w:val="943634"/>
                <w:sz w:val="19"/>
                <w:szCs w:val="19"/>
                <w:lang w:val="hu-HU"/>
              </w:rPr>
              <w:t>Z</w:t>
            </w:r>
            <w:r w:rsidR="00FE7416" w:rsidRPr="00A53671">
              <w:rPr>
                <w:rFonts w:ascii="Verdana" w:eastAsia="MS Mincho" w:hAnsi="Verdana" w:cs="Times New Roman"/>
                <w:b w:val="0"/>
                <w:iCs/>
                <w:color w:val="943634"/>
                <w:sz w:val="19"/>
                <w:szCs w:val="19"/>
                <w:lang w:val="hu-HU"/>
              </w:rPr>
              <w:t>ERBIA</w:t>
            </w:r>
            <w:r>
              <w:rPr>
                <w:rFonts w:ascii="Verdana" w:eastAsia="MS Mincho" w:hAnsi="Verdana" w:cs="Times New Roman"/>
                <w:b w:val="0"/>
                <w:iCs/>
                <w:color w:val="943634"/>
                <w:sz w:val="19"/>
                <w:szCs w:val="19"/>
                <w:lang w:val="hu-HU"/>
              </w:rPr>
              <w:t xml:space="preserve"> ügy</w:t>
            </w:r>
            <w:r w:rsidR="00FE7416" w:rsidRPr="00A53671">
              <w:rPr>
                <w:rFonts w:ascii="Verdana" w:eastAsia="MS Mincho" w:hAnsi="Verdana" w:cs="Times New Roman"/>
                <w:b w:val="0"/>
                <w:color w:val="943634"/>
                <w:sz w:val="19"/>
                <w:szCs w:val="19"/>
                <w:lang w:val="hu-HU"/>
              </w:rPr>
              <w:t xml:space="preserve">, </w:t>
            </w:r>
            <w:r w:rsidR="00FE7416" w:rsidRPr="00A53671">
              <w:rPr>
                <w:rFonts w:ascii="Verdana" w:eastAsia="MS Mincho" w:hAnsi="Verdana" w:cs="Times New Roman"/>
                <w:b w:val="0"/>
                <w:i/>
                <w:iCs/>
                <w:color w:val="943634"/>
                <w:sz w:val="19"/>
                <w:szCs w:val="19"/>
                <w:lang w:val="hu-HU"/>
              </w:rPr>
              <w:t>44614/07</w:t>
            </w:r>
            <w:r>
              <w:rPr>
                <w:rFonts w:ascii="Verdana" w:eastAsia="MS Mincho" w:hAnsi="Verdana" w:cs="Times New Roman"/>
                <w:b w:val="0"/>
                <w:iCs/>
                <w:color w:val="943634"/>
                <w:sz w:val="19"/>
                <w:szCs w:val="19"/>
                <w:lang w:val="hu-HU"/>
              </w:rPr>
              <w:t>sz. kérelem</w:t>
            </w:r>
            <w:r w:rsidR="00FE7416" w:rsidRPr="00A53671">
              <w:rPr>
                <w:rFonts w:ascii="Verdana" w:eastAsia="MS Mincho" w:hAnsi="Verdana" w:cs="Times New Roman"/>
                <w:b w:val="0"/>
                <w:iCs/>
                <w:color w:val="943634"/>
                <w:sz w:val="19"/>
                <w:szCs w:val="19"/>
                <w:lang w:val="hu-HU"/>
              </w:rPr>
              <w:t>, 2011</w:t>
            </w:r>
            <w:r>
              <w:rPr>
                <w:rFonts w:ascii="Verdana" w:eastAsia="MS Mincho" w:hAnsi="Verdana" w:cs="Times New Roman"/>
                <w:b w:val="0"/>
                <w:iCs/>
                <w:color w:val="943634"/>
                <w:sz w:val="19"/>
                <w:szCs w:val="19"/>
                <w:lang w:val="hu-HU"/>
              </w:rPr>
              <w:t>. június 20-án kelt ítélet</w:t>
            </w:r>
            <w:r w:rsidR="00FE7416" w:rsidRPr="00A53671">
              <w:rPr>
                <w:rFonts w:ascii="Verdana" w:eastAsia="MS Mincho" w:hAnsi="Verdana" w:cs="Times New Roman"/>
                <w:b w:val="0"/>
                <w:iCs/>
                <w:color w:val="943634"/>
                <w:sz w:val="19"/>
                <w:szCs w:val="19"/>
                <w:lang w:val="hu-HU"/>
              </w:rPr>
              <w:t xml:space="preserve"> (</w:t>
            </w:r>
            <w:hyperlink r:id="rId11" w:history="1">
              <w:r w:rsidR="00FE7416" w:rsidRPr="00A53671">
                <w:rPr>
                  <w:rStyle w:val="Hiperhivatkozs"/>
                  <w:b w:val="0"/>
                  <w:iCs/>
                  <w:lang w:val="hu-HU"/>
                </w:rPr>
                <w:t>link</w:t>
              </w:r>
            </w:hyperlink>
            <w:r w:rsidR="00FE7416" w:rsidRPr="00A53671">
              <w:rPr>
                <w:rFonts w:ascii="Verdana" w:eastAsia="MS Mincho" w:hAnsi="Verdana" w:cs="Times New Roman"/>
                <w:b w:val="0"/>
                <w:iCs/>
                <w:color w:val="943634"/>
                <w:sz w:val="19"/>
                <w:szCs w:val="19"/>
                <w:lang w:val="hu-HU"/>
              </w:rPr>
              <w:t>)</w:t>
            </w:r>
          </w:p>
          <w:p w:rsidR="00FE7416" w:rsidRPr="00A53671" w:rsidRDefault="00FE7416" w:rsidP="00D231D8">
            <w:pPr>
              <w:contextualSpacing/>
              <w:jc w:val="both"/>
              <w:rPr>
                <w:rFonts w:ascii="Verdana" w:eastAsia="MS Mincho" w:hAnsi="Verdana" w:cs="Times New Roman"/>
                <w:sz w:val="18"/>
                <w:szCs w:val="18"/>
                <w:u w:val="single"/>
                <w:lang w:val="hu-HU"/>
              </w:rPr>
            </w:pPr>
          </w:p>
          <w:p w:rsidR="00FE7416" w:rsidRPr="00A53671" w:rsidRDefault="00CE140A" w:rsidP="0069710D">
            <w:pPr>
              <w:contextualSpacing/>
              <w:jc w:val="both"/>
              <w:rPr>
                <w:rFonts w:ascii="Verdana" w:eastAsia="MS Mincho" w:hAnsi="Verdana" w:cs="Times New Roman"/>
                <w:b w:val="0"/>
                <w:bCs w:val="0"/>
                <w:sz w:val="18"/>
                <w:szCs w:val="18"/>
                <w:lang w:val="hu-HU"/>
              </w:rPr>
            </w:pPr>
            <w:r>
              <w:rPr>
                <w:rFonts w:ascii="Verdana" w:eastAsia="MS Mincho" w:hAnsi="Verdana" w:cs="Times New Roman"/>
                <w:sz w:val="18"/>
                <w:szCs w:val="18"/>
                <w:u w:val="single"/>
                <w:lang w:val="hu-HU"/>
              </w:rPr>
              <w:t>Tényállás</w:t>
            </w:r>
            <w:r w:rsidR="00FE7416" w:rsidRPr="00A53671">
              <w:rPr>
                <w:rFonts w:ascii="Verdana" w:eastAsia="MS Mincho" w:hAnsi="Verdana" w:cs="Times New Roman"/>
                <w:sz w:val="18"/>
                <w:szCs w:val="18"/>
                <w:lang w:val="hu-HU"/>
              </w:rPr>
              <w:t xml:space="preserve">: </w:t>
            </w:r>
            <w:r w:rsidRPr="00CE140A">
              <w:rPr>
                <w:rFonts w:ascii="Verdana" w:eastAsia="MS Mincho" w:hAnsi="Verdana" w:cs="Times New Roman"/>
                <w:b w:val="0"/>
                <w:sz w:val="18"/>
                <w:szCs w:val="18"/>
                <w:lang w:val="hu-HU"/>
              </w:rPr>
              <w:t>A</w:t>
            </w:r>
            <w:r>
              <w:rPr>
                <w:rFonts w:ascii="Verdana" w:eastAsia="MS Mincho" w:hAnsi="Verdana" w:cs="Times New Roman"/>
                <w:b w:val="0"/>
                <w:sz w:val="18"/>
                <w:szCs w:val="18"/>
                <w:lang w:val="hu-HU"/>
              </w:rPr>
              <w:t xml:space="preserve"> kérelmező, a szerbiai </w:t>
            </w:r>
            <w:proofErr w:type="spellStart"/>
            <w:r>
              <w:rPr>
                <w:rFonts w:ascii="Verdana" w:eastAsia="MS Mincho" w:hAnsi="Verdana" w:cs="Times New Roman"/>
                <w:b w:val="0"/>
                <w:sz w:val="18"/>
                <w:szCs w:val="18"/>
                <w:lang w:val="hu-HU"/>
              </w:rPr>
              <w:t>Vaishavna</w:t>
            </w:r>
            <w:proofErr w:type="spellEnd"/>
            <w:r>
              <w:rPr>
                <w:rFonts w:ascii="Verdana" w:eastAsia="MS Mincho" w:hAnsi="Verdana" w:cs="Times New Roman"/>
                <w:b w:val="0"/>
                <w:sz w:val="18"/>
                <w:szCs w:val="18"/>
                <w:lang w:val="hu-HU"/>
              </w:rPr>
              <w:t xml:space="preserve"> Hindu, más néven Hare </w:t>
            </w:r>
            <w:proofErr w:type="spellStart"/>
            <w:r>
              <w:rPr>
                <w:rFonts w:ascii="Verdana" w:eastAsia="MS Mincho" w:hAnsi="Verdana" w:cs="Times New Roman"/>
                <w:b w:val="0"/>
                <w:sz w:val="18"/>
                <w:szCs w:val="18"/>
                <w:lang w:val="hu-HU"/>
              </w:rPr>
              <w:t>Krishna</w:t>
            </w:r>
            <w:proofErr w:type="spellEnd"/>
            <w:r>
              <w:rPr>
                <w:rFonts w:ascii="Verdana" w:eastAsia="MS Mincho" w:hAnsi="Verdana" w:cs="Times New Roman"/>
                <w:b w:val="0"/>
                <w:sz w:val="18"/>
                <w:szCs w:val="18"/>
                <w:lang w:val="hu-HU"/>
              </w:rPr>
              <w:t xml:space="preserve"> vallási közösség egyik vezetője 2000-2001. táján kezdett fenyegető telefonhívásokat kapni. </w:t>
            </w:r>
            <w:proofErr w:type="gramStart"/>
            <w:r>
              <w:rPr>
                <w:rFonts w:ascii="Verdana" w:eastAsia="MS Mincho" w:hAnsi="Verdana" w:cs="Times New Roman"/>
                <w:b w:val="0"/>
                <w:sz w:val="18"/>
                <w:szCs w:val="18"/>
                <w:lang w:val="hu-HU"/>
              </w:rPr>
              <w:t>2001. szeptemberében</w:t>
            </w:r>
            <w:proofErr w:type="gramEnd"/>
            <w:r>
              <w:rPr>
                <w:rFonts w:ascii="Verdana" w:eastAsia="MS Mincho" w:hAnsi="Verdana" w:cs="Times New Roman"/>
                <w:b w:val="0"/>
                <w:sz w:val="18"/>
                <w:szCs w:val="18"/>
                <w:lang w:val="hu-HU"/>
              </w:rPr>
              <w:t xml:space="preserve"> két ízben is megtámadták: első alkalommal egy vélhetően (baseball) ütővel felszerelt támadó, második alkalommal pedig egy késes támadó. 2005-ben (június) a kérelmező elszenvedett egy harmadik támadást is (hasba szúrták). 2006-</w:t>
            </w:r>
            <w:r>
              <w:rPr>
                <w:rFonts w:ascii="Verdana" w:eastAsia="MS Mincho" w:hAnsi="Verdana" w:cs="Times New Roman"/>
                <w:b w:val="0"/>
                <w:sz w:val="18"/>
                <w:szCs w:val="18"/>
                <w:lang w:val="hu-HU"/>
              </w:rPr>
              <w:lastRenderedPageBreak/>
              <w:t xml:space="preserve">ban (június) pedig újra megtámadták, és a támadó ismét hasba szúrta, illetve </w:t>
            </w:r>
            <w:r>
              <w:rPr>
                <w:rFonts w:ascii="Verdana" w:eastAsia="MS Mincho" w:hAnsi="Verdana" w:cs="Times New Roman"/>
                <w:sz w:val="18"/>
                <w:szCs w:val="18"/>
                <w:lang w:val="hu-HU"/>
              </w:rPr>
              <w:t>feszüle</w:t>
            </w:r>
            <w:r w:rsidRPr="00CE140A">
              <w:rPr>
                <w:rFonts w:ascii="Verdana" w:eastAsia="MS Mincho" w:hAnsi="Verdana" w:cs="Times New Roman"/>
                <w:sz w:val="18"/>
                <w:szCs w:val="18"/>
                <w:lang w:val="hu-HU"/>
              </w:rPr>
              <w:t>tet karcolt a fejére</w:t>
            </w:r>
            <w:r>
              <w:rPr>
                <w:rFonts w:ascii="Verdana" w:eastAsia="MS Mincho" w:hAnsi="Verdana" w:cs="Times New Roman"/>
                <w:b w:val="0"/>
                <w:sz w:val="18"/>
                <w:szCs w:val="18"/>
                <w:lang w:val="hu-HU"/>
              </w:rPr>
              <w:t>. Végül 2007-ben (június) a kérelmezőt újra megtámadták</w:t>
            </w:r>
            <w:r w:rsidR="007130AB">
              <w:rPr>
                <w:rFonts w:ascii="Verdana" w:eastAsia="MS Mincho" w:hAnsi="Verdana" w:cs="Times New Roman"/>
                <w:b w:val="0"/>
                <w:sz w:val="18"/>
                <w:szCs w:val="18"/>
                <w:lang w:val="hu-HU"/>
              </w:rPr>
              <w:t>,</w:t>
            </w:r>
            <w:r>
              <w:rPr>
                <w:rFonts w:ascii="Verdana" w:eastAsia="MS Mincho" w:hAnsi="Verdana" w:cs="Times New Roman"/>
                <w:b w:val="0"/>
                <w:sz w:val="18"/>
                <w:szCs w:val="18"/>
                <w:lang w:val="hu-HU"/>
              </w:rPr>
              <w:t xml:space="preserve"> és mellbe, karon és lábon szúrták</w:t>
            </w:r>
            <w:r w:rsidR="000529F1">
              <w:rPr>
                <w:rFonts w:ascii="Verdana" w:eastAsia="MS Mincho" w:hAnsi="Verdana" w:cs="Times New Roman"/>
                <w:b w:val="0"/>
                <w:sz w:val="18"/>
                <w:szCs w:val="18"/>
                <w:lang w:val="hu-HU"/>
              </w:rPr>
              <w:t>. A rendőrség egyik alkalommal sem azonosította</w:t>
            </w:r>
            <w:r w:rsidR="007130AB">
              <w:rPr>
                <w:rFonts w:ascii="Verdana" w:eastAsia="MS Mincho" w:hAnsi="Verdana" w:cs="Times New Roman"/>
                <w:b w:val="0"/>
                <w:sz w:val="18"/>
                <w:szCs w:val="18"/>
                <w:lang w:val="hu-HU"/>
              </w:rPr>
              <w:t>,</w:t>
            </w:r>
            <w:r w:rsidR="000529F1">
              <w:rPr>
                <w:rFonts w:ascii="Verdana" w:eastAsia="MS Mincho" w:hAnsi="Verdana" w:cs="Times New Roman"/>
                <w:b w:val="0"/>
                <w:sz w:val="18"/>
                <w:szCs w:val="18"/>
                <w:lang w:val="hu-HU"/>
              </w:rPr>
              <w:t xml:space="preserve"> és állította igazságszolgáltatás elé az elkövetőket. A kérelmező elleni támadások többségét </w:t>
            </w:r>
            <w:proofErr w:type="spellStart"/>
            <w:r w:rsidR="000529F1">
              <w:rPr>
                <w:rFonts w:ascii="Verdana" w:eastAsia="MS Mincho" w:hAnsi="Verdana" w:cs="Times New Roman"/>
                <w:b w:val="0"/>
                <w:sz w:val="18"/>
                <w:szCs w:val="18"/>
                <w:lang w:val="hu-HU"/>
              </w:rPr>
              <w:t>Vidovdan</w:t>
            </w:r>
            <w:proofErr w:type="spellEnd"/>
            <w:r w:rsidR="000529F1">
              <w:rPr>
                <w:rFonts w:ascii="Verdana" w:eastAsia="MS Mincho" w:hAnsi="Verdana" w:cs="Times New Roman"/>
                <w:b w:val="0"/>
                <w:sz w:val="18"/>
                <w:szCs w:val="18"/>
                <w:lang w:val="hu-HU"/>
              </w:rPr>
              <w:t>, az ortodox vallás egyik jelentős ünnepe környékén jelentették.</w:t>
            </w:r>
          </w:p>
          <w:p w:rsidR="0055174F" w:rsidRPr="00A53671" w:rsidRDefault="0055174F" w:rsidP="00D231D8">
            <w:pPr>
              <w:contextualSpacing/>
              <w:jc w:val="both"/>
              <w:rPr>
                <w:rFonts w:ascii="Verdana" w:eastAsia="MS Mincho" w:hAnsi="Verdana" w:cs="Times New Roman"/>
                <w:b w:val="0"/>
                <w:sz w:val="18"/>
                <w:szCs w:val="18"/>
                <w:u w:val="single"/>
                <w:lang w:val="hu-HU"/>
              </w:rPr>
            </w:pPr>
          </w:p>
          <w:p w:rsidR="000529F1" w:rsidRDefault="000529F1" w:rsidP="00D231D8">
            <w:pPr>
              <w:contextualSpacing/>
              <w:jc w:val="both"/>
              <w:rPr>
                <w:rFonts w:ascii="Verdana" w:eastAsia="MS Mincho" w:hAnsi="Verdana" w:cs="Times New Roman"/>
                <w:bCs w:val="0"/>
                <w:sz w:val="18"/>
                <w:szCs w:val="18"/>
                <w:lang w:val="hu-HU"/>
              </w:rPr>
            </w:pPr>
            <w:r>
              <w:rPr>
                <w:rFonts w:ascii="Verdana" w:eastAsia="MS Mincho" w:hAnsi="Verdana" w:cs="Times New Roman"/>
                <w:sz w:val="18"/>
                <w:szCs w:val="18"/>
                <w:u w:val="single"/>
                <w:lang w:val="hu-HU"/>
              </w:rPr>
              <w:t>Elemzés</w:t>
            </w:r>
            <w:r w:rsidR="00FE7416" w:rsidRPr="00A53671">
              <w:rPr>
                <w:rFonts w:ascii="Verdana" w:eastAsia="MS Mincho" w:hAnsi="Verdana" w:cs="Times New Roman"/>
                <w:sz w:val="18"/>
                <w:szCs w:val="18"/>
                <w:lang w:val="hu-HU"/>
              </w:rPr>
              <w:t xml:space="preserve">: </w:t>
            </w:r>
            <w:r w:rsidRPr="000529F1">
              <w:rPr>
                <w:rFonts w:ascii="Verdana" w:eastAsia="MS Mincho" w:hAnsi="Verdana" w:cs="Times New Roman"/>
                <w:b w:val="0"/>
                <w:sz w:val="18"/>
                <w:szCs w:val="18"/>
                <w:lang w:val="hu-HU"/>
              </w:rPr>
              <w:t>A</w:t>
            </w:r>
            <w:r>
              <w:rPr>
                <w:rFonts w:ascii="Verdana" w:eastAsia="MS Mincho" w:hAnsi="Verdana" w:cs="Times New Roman"/>
                <w:b w:val="0"/>
                <w:sz w:val="18"/>
                <w:szCs w:val="18"/>
                <w:lang w:val="hu-HU"/>
              </w:rPr>
              <w:t xml:space="preserve"> Bíróság többek között úgy ítélte, hogy a hatóságok nem tettek meg minden tőlük elvárható intézkedést a megfelelő vizsgálat lefolytatására, és nem tettek </w:t>
            </w:r>
            <w:r w:rsidR="007E734E">
              <w:rPr>
                <w:rFonts w:ascii="Verdana" w:eastAsia="MS Mincho" w:hAnsi="Verdana" w:cs="Times New Roman"/>
                <w:b w:val="0"/>
                <w:sz w:val="18"/>
                <w:szCs w:val="18"/>
                <w:lang w:val="hu-HU"/>
              </w:rPr>
              <w:t>tényleges</w:t>
            </w:r>
            <w:r>
              <w:rPr>
                <w:rFonts w:ascii="Verdana" w:eastAsia="MS Mincho" w:hAnsi="Verdana" w:cs="Times New Roman"/>
                <w:b w:val="0"/>
                <w:sz w:val="18"/>
                <w:szCs w:val="18"/>
                <w:lang w:val="hu-HU"/>
              </w:rPr>
              <w:t xml:space="preserve"> lépéseket a</w:t>
            </w:r>
            <w:r w:rsidR="007130AB">
              <w:rPr>
                <w:rFonts w:ascii="Verdana" w:eastAsia="MS Mincho" w:hAnsi="Verdana" w:cs="Times New Roman"/>
                <w:b w:val="0"/>
                <w:sz w:val="18"/>
                <w:szCs w:val="18"/>
                <w:lang w:val="hu-HU"/>
              </w:rPr>
              <w:t xml:space="preserve"> panaszos</w:t>
            </w:r>
            <w:r>
              <w:rPr>
                <w:rFonts w:ascii="Verdana" w:eastAsia="MS Mincho" w:hAnsi="Verdana" w:cs="Times New Roman"/>
                <w:b w:val="0"/>
                <w:sz w:val="18"/>
                <w:szCs w:val="18"/>
                <w:lang w:val="hu-HU"/>
              </w:rPr>
              <w:t xml:space="preserve">t ért ismételt bántalmazások megelőzésére. </w:t>
            </w:r>
            <w:proofErr w:type="gramStart"/>
            <w:r>
              <w:rPr>
                <w:rFonts w:ascii="Verdana" w:eastAsia="MS Mincho" w:hAnsi="Verdana" w:cs="Times New Roman"/>
                <w:b w:val="0"/>
                <w:sz w:val="18"/>
                <w:szCs w:val="18"/>
                <w:lang w:val="hu-HU"/>
              </w:rPr>
              <w:t>2010</w:t>
            </w:r>
            <w:r w:rsidR="00CB7060">
              <w:rPr>
                <w:rFonts w:ascii="Verdana" w:eastAsia="MS Mincho" w:hAnsi="Verdana" w:cs="Times New Roman"/>
                <w:b w:val="0"/>
                <w:sz w:val="18"/>
                <w:szCs w:val="18"/>
                <w:lang w:val="hu-HU"/>
              </w:rPr>
              <w:t>.</w:t>
            </w:r>
            <w:r>
              <w:rPr>
                <w:rFonts w:ascii="Verdana" w:eastAsia="MS Mincho" w:hAnsi="Verdana" w:cs="Times New Roman"/>
                <w:b w:val="0"/>
                <w:sz w:val="18"/>
                <w:szCs w:val="18"/>
                <w:lang w:val="hu-HU"/>
              </w:rPr>
              <w:t xml:space="preserve"> április 12-i jelentésében a rendőrség többek között megjegyezte, hogy: (a) a kérelmező elleni támadások többségét </w:t>
            </w:r>
            <w:proofErr w:type="spellStart"/>
            <w:r>
              <w:rPr>
                <w:rFonts w:ascii="Verdana" w:eastAsia="MS Mincho" w:hAnsi="Verdana" w:cs="Times New Roman"/>
                <w:b w:val="0"/>
                <w:sz w:val="18"/>
                <w:szCs w:val="18"/>
                <w:lang w:val="hu-HU"/>
              </w:rPr>
              <w:t>Vidovdan</w:t>
            </w:r>
            <w:proofErr w:type="spellEnd"/>
            <w:r>
              <w:rPr>
                <w:rFonts w:ascii="Verdana" w:eastAsia="MS Mincho" w:hAnsi="Verdana" w:cs="Times New Roman"/>
                <w:b w:val="0"/>
                <w:sz w:val="18"/>
                <w:szCs w:val="18"/>
                <w:lang w:val="hu-HU"/>
              </w:rPr>
              <w:t xml:space="preserve">, az ortodox vallás egyik jelentős ünnepe környékén jelentették; (b) a kérelmező utólag a médiában nyilvánosságra hozta ezeket az eseteket, és eközben „hangsúlyozta” saját vallási kötődését; (c) a kérelmező sérüléseinek természete olyan volt, hogy az önkezűség nem volt kizárható; és (d) és sérülések mind felületiek voltak, </w:t>
            </w:r>
            <w:r w:rsidR="001666FC">
              <w:rPr>
                <w:rFonts w:ascii="Verdana" w:eastAsia="MS Mincho" w:hAnsi="Verdana" w:cs="Times New Roman"/>
                <w:b w:val="0"/>
                <w:sz w:val="18"/>
                <w:szCs w:val="18"/>
                <w:lang w:val="hu-HU"/>
              </w:rPr>
              <w:t>ami sajátosnak tekinthető és nagy ügyességet kíván a kérelmező támadójától, akinek sohasem sikerült lefognia az áldozatot, csak „távolból támadta meg”</w:t>
            </w:r>
            <w:proofErr w:type="gramEnd"/>
            <w:r w:rsidR="001666FC">
              <w:rPr>
                <w:rFonts w:ascii="Verdana" w:eastAsia="MS Mincho" w:hAnsi="Verdana" w:cs="Times New Roman"/>
                <w:b w:val="0"/>
                <w:sz w:val="18"/>
                <w:szCs w:val="18"/>
                <w:lang w:val="hu-HU"/>
              </w:rPr>
              <w:t xml:space="preserve">. A rendőrség </w:t>
            </w:r>
            <w:proofErr w:type="spellStart"/>
            <w:r w:rsidR="001666FC" w:rsidRPr="00A53671">
              <w:rPr>
                <w:rFonts w:ascii="Verdana" w:eastAsia="MS Mincho" w:hAnsi="Verdana" w:cs="Times New Roman"/>
                <w:b w:val="0"/>
                <w:sz w:val="18"/>
                <w:szCs w:val="18"/>
                <w:lang w:val="hu-HU"/>
              </w:rPr>
              <w:t>Milanović</w:t>
            </w:r>
            <w:proofErr w:type="spellEnd"/>
            <w:r w:rsidR="001666FC">
              <w:rPr>
                <w:rFonts w:ascii="Verdana" w:eastAsia="MS Mincho" w:hAnsi="Verdana" w:cs="Times New Roman"/>
                <w:b w:val="0"/>
                <w:sz w:val="18"/>
                <w:szCs w:val="18"/>
                <w:lang w:val="hu-HU"/>
              </w:rPr>
              <w:t xml:space="preserve"> meggyőződésével, megjelenésével és a </w:t>
            </w:r>
            <w:r w:rsidR="00FF719D">
              <w:rPr>
                <w:rFonts w:ascii="Verdana" w:eastAsia="MS Mincho" w:hAnsi="Verdana" w:cs="Times New Roman"/>
                <w:b w:val="0"/>
                <w:sz w:val="18"/>
                <w:szCs w:val="18"/>
                <w:lang w:val="hu-HU"/>
              </w:rPr>
              <w:t xml:space="preserve">sajtóbeli nyilvánosságra hozatallal kapcsolatos </w:t>
            </w:r>
            <w:r w:rsidR="001666FC">
              <w:rPr>
                <w:rFonts w:ascii="Verdana" w:eastAsia="MS Mincho" w:hAnsi="Verdana" w:cs="Times New Roman"/>
                <w:b w:val="0"/>
                <w:sz w:val="18"/>
                <w:szCs w:val="18"/>
                <w:lang w:val="hu-HU"/>
              </w:rPr>
              <w:t>állításai</w:t>
            </w:r>
            <w:r w:rsidR="00FF719D">
              <w:rPr>
                <w:rFonts w:ascii="Verdana" w:eastAsia="MS Mincho" w:hAnsi="Verdana" w:cs="Times New Roman"/>
                <w:b w:val="0"/>
                <w:sz w:val="18"/>
                <w:szCs w:val="18"/>
                <w:lang w:val="hu-HU"/>
              </w:rPr>
              <w:t xml:space="preserve"> arra utalnak, hogy a rendőrségnek kétségei voltak azt illetően, hogy </w:t>
            </w:r>
            <w:proofErr w:type="spellStart"/>
            <w:r w:rsidR="00FF719D" w:rsidRPr="00A53671">
              <w:rPr>
                <w:rFonts w:ascii="Verdana" w:eastAsia="MS Mincho" w:hAnsi="Verdana" w:cs="Times New Roman"/>
                <w:b w:val="0"/>
                <w:sz w:val="18"/>
                <w:szCs w:val="18"/>
                <w:lang w:val="hu-HU"/>
              </w:rPr>
              <w:t>Milanović</w:t>
            </w:r>
            <w:proofErr w:type="spellEnd"/>
            <w:r w:rsidR="00FF719D">
              <w:rPr>
                <w:rFonts w:ascii="Verdana" w:eastAsia="MS Mincho" w:hAnsi="Verdana" w:cs="Times New Roman"/>
                <w:b w:val="0"/>
                <w:sz w:val="18"/>
                <w:szCs w:val="18"/>
                <w:lang w:val="hu-HU"/>
              </w:rPr>
              <w:t xml:space="preserve"> valódi vallási támadás áldozata volt-e. Ennek következtében, noha a hatóságok számos </w:t>
            </w:r>
            <w:proofErr w:type="spellStart"/>
            <w:r w:rsidR="00FF719D" w:rsidRPr="00A53671">
              <w:rPr>
                <w:rFonts w:ascii="Verdana" w:eastAsia="MS Mincho" w:hAnsi="Verdana" w:cs="Times New Roman"/>
                <w:b w:val="0"/>
                <w:sz w:val="18"/>
                <w:szCs w:val="18"/>
                <w:lang w:val="hu-HU"/>
              </w:rPr>
              <w:t>Milanović</w:t>
            </w:r>
            <w:proofErr w:type="spellEnd"/>
            <w:r w:rsidR="00FF719D">
              <w:rPr>
                <w:rFonts w:ascii="Verdana" w:eastAsia="MS Mincho" w:hAnsi="Verdana" w:cs="Times New Roman"/>
                <w:b w:val="0"/>
                <w:sz w:val="18"/>
                <w:szCs w:val="18"/>
                <w:lang w:val="hu-HU"/>
              </w:rPr>
              <w:t xml:space="preserve"> által felvetett, a támadói motivációjával kapcsolatos nyomot megvizsgáltak, ezek a lépések alig vezettek többre, mint látszatnyomozásra.</w:t>
            </w:r>
          </w:p>
          <w:p w:rsidR="00FE7416" w:rsidRPr="00A53671" w:rsidRDefault="00FE7416" w:rsidP="00D231D8">
            <w:pPr>
              <w:contextualSpacing/>
              <w:jc w:val="both"/>
              <w:rPr>
                <w:rFonts w:ascii="Verdana" w:eastAsia="MS Mincho" w:hAnsi="Verdana" w:cs="Times New Roman"/>
                <w:b w:val="0"/>
                <w:color w:val="0000FF"/>
                <w:sz w:val="18"/>
                <w:szCs w:val="18"/>
                <w:u w:val="single"/>
                <w:lang w:val="hu-HU"/>
              </w:rPr>
            </w:pPr>
          </w:p>
          <w:p w:rsidR="00FE7416" w:rsidRPr="00A53671" w:rsidRDefault="00FE7416" w:rsidP="00D231D8">
            <w:pPr>
              <w:contextualSpacing/>
              <w:jc w:val="both"/>
              <w:rPr>
                <w:rFonts w:ascii="Verdana" w:eastAsia="MS Mincho" w:hAnsi="Verdana" w:cs="Times New Roman"/>
                <w:b w:val="0"/>
                <w:sz w:val="18"/>
                <w:szCs w:val="18"/>
                <w:lang w:val="hu-HU"/>
              </w:rPr>
            </w:pPr>
          </w:p>
          <w:p w:rsidR="008730D1" w:rsidRDefault="00FE7416" w:rsidP="00D231D8">
            <w:pPr>
              <w:ind w:left="720"/>
              <w:contextualSpacing/>
              <w:jc w:val="both"/>
              <w:rPr>
                <w:rFonts w:ascii="Verdana" w:eastAsia="MS Mincho" w:hAnsi="Verdana" w:cs="Times New Roman"/>
                <w:bCs w:val="0"/>
                <w:i/>
                <w:sz w:val="18"/>
                <w:szCs w:val="18"/>
                <w:lang w:val="hu-HU"/>
              </w:rPr>
            </w:pPr>
            <w:proofErr w:type="gramStart"/>
            <w:r w:rsidRPr="00A53671">
              <w:rPr>
                <w:rFonts w:ascii="Verdana" w:eastAsia="MS Mincho" w:hAnsi="Verdana" w:cs="Times New Roman"/>
                <w:b w:val="0"/>
                <w:i/>
                <w:sz w:val="18"/>
                <w:szCs w:val="18"/>
                <w:u w:val="single"/>
                <w:lang w:val="hu-HU"/>
              </w:rPr>
              <w:t>89</w:t>
            </w:r>
            <w:r w:rsidR="008730D1">
              <w:rPr>
                <w:rFonts w:ascii="Verdana" w:eastAsia="MS Mincho" w:hAnsi="Verdana" w:cs="Times New Roman"/>
                <w:b w:val="0"/>
                <w:i/>
                <w:sz w:val="18"/>
                <w:szCs w:val="18"/>
                <w:u w:val="single"/>
                <w:lang w:val="hu-HU"/>
              </w:rPr>
              <w:t>. bekezdés</w:t>
            </w:r>
            <w:r w:rsidRPr="00A53671">
              <w:rPr>
                <w:rFonts w:ascii="Verdana" w:eastAsia="MS Mincho" w:hAnsi="Verdana" w:cs="Times New Roman"/>
                <w:b w:val="0"/>
                <w:i/>
                <w:sz w:val="18"/>
                <w:szCs w:val="18"/>
                <w:lang w:val="hu-HU"/>
              </w:rPr>
              <w:t>:</w:t>
            </w:r>
            <w:r w:rsidR="00115F69" w:rsidRPr="00A53671">
              <w:rPr>
                <w:rFonts w:ascii="Verdana" w:eastAsia="MS Mincho" w:hAnsi="Verdana" w:cs="Times New Roman"/>
                <w:b w:val="0"/>
                <w:i/>
                <w:sz w:val="18"/>
                <w:szCs w:val="18"/>
                <w:lang w:val="hu-HU"/>
              </w:rPr>
              <w:t xml:space="preserve"> …</w:t>
            </w:r>
            <w:r w:rsidR="008730D1">
              <w:rPr>
                <w:rFonts w:ascii="Verdana" w:eastAsia="MS Mincho" w:hAnsi="Verdana" w:cs="Times New Roman"/>
                <w:b w:val="0"/>
                <w:i/>
                <w:sz w:val="18"/>
                <w:szCs w:val="18"/>
                <w:lang w:val="hu-HU"/>
              </w:rPr>
              <w:t xml:space="preserve">legkésőbb 2005 júliusában </w:t>
            </w:r>
            <w:r w:rsidR="008730D1" w:rsidRPr="008730D1">
              <w:rPr>
                <w:rFonts w:ascii="Verdana" w:eastAsia="MS Mincho" w:hAnsi="Verdana" w:cs="Times New Roman"/>
                <w:i/>
                <w:sz w:val="18"/>
                <w:szCs w:val="18"/>
                <w:lang w:val="hu-HU"/>
              </w:rPr>
              <w:t>nyilvánvalónak kellett volna lennie a rendőrség számára, hogy a kérelmezőt, aki egy sérülékeny vallási kisebbség tagja</w:t>
            </w:r>
            <w:r w:rsidR="008730D1">
              <w:rPr>
                <w:rFonts w:ascii="Verdana" w:eastAsia="MS Mincho" w:hAnsi="Verdana" w:cs="Times New Roman"/>
                <w:b w:val="0"/>
                <w:i/>
                <w:sz w:val="18"/>
                <w:szCs w:val="18"/>
                <w:lang w:val="hu-HU"/>
              </w:rPr>
              <w:t xml:space="preserve"> (lásd értelemszerűen </w:t>
            </w:r>
            <w:proofErr w:type="spellStart"/>
            <w:r w:rsidRPr="00A53671">
              <w:rPr>
                <w:rFonts w:ascii="Verdana" w:eastAsia="MS Mincho" w:hAnsi="Verdana" w:cs="Times New Roman"/>
                <w:b w:val="0"/>
                <w:i/>
                <w:sz w:val="18"/>
                <w:szCs w:val="18"/>
                <w:lang w:val="hu-HU"/>
              </w:rPr>
              <w:t>Okkali</w:t>
            </w:r>
            <w:proofErr w:type="spellEnd"/>
            <w:r w:rsidR="004B248E">
              <w:rPr>
                <w:rFonts w:ascii="Verdana" w:eastAsia="MS Mincho" w:hAnsi="Verdana" w:cs="Times New Roman"/>
                <w:b w:val="0"/>
                <w:i/>
                <w:sz w:val="18"/>
                <w:szCs w:val="18"/>
                <w:lang w:val="hu-HU"/>
              </w:rPr>
              <w:t xml:space="preserve"> </w:t>
            </w:r>
            <w:r w:rsidR="008730D1">
              <w:rPr>
                <w:rFonts w:ascii="Verdana" w:eastAsia="MS Mincho" w:hAnsi="Verdana" w:cs="Times New Roman"/>
                <w:b w:val="0"/>
                <w:i/>
                <w:sz w:val="18"/>
                <w:szCs w:val="18"/>
                <w:lang w:val="hu-HU"/>
              </w:rPr>
              <w:t>kontra</w:t>
            </w:r>
            <w:r w:rsidR="004B248E">
              <w:rPr>
                <w:rFonts w:ascii="Verdana" w:eastAsia="MS Mincho" w:hAnsi="Verdana" w:cs="Times New Roman"/>
                <w:b w:val="0"/>
                <w:i/>
                <w:sz w:val="18"/>
                <w:szCs w:val="18"/>
                <w:lang w:val="hu-HU"/>
              </w:rPr>
              <w:t xml:space="preserve"> </w:t>
            </w:r>
            <w:proofErr w:type="spellStart"/>
            <w:r w:rsidRPr="00A53671">
              <w:rPr>
                <w:rFonts w:ascii="Verdana" w:eastAsia="MS Mincho" w:hAnsi="Verdana" w:cs="Times New Roman"/>
                <w:b w:val="0"/>
                <w:i/>
                <w:sz w:val="18"/>
                <w:szCs w:val="18"/>
                <w:lang w:val="hu-HU"/>
              </w:rPr>
              <w:t>T</w:t>
            </w:r>
            <w:r w:rsidR="008730D1">
              <w:rPr>
                <w:rFonts w:ascii="Verdana" w:eastAsia="MS Mincho" w:hAnsi="Verdana" w:cs="Times New Roman"/>
                <w:b w:val="0"/>
                <w:i/>
                <w:sz w:val="18"/>
                <w:szCs w:val="18"/>
                <w:lang w:val="hu-HU"/>
              </w:rPr>
              <w:t>örökoszág</w:t>
            </w:r>
            <w:proofErr w:type="spellEnd"/>
            <w:r w:rsidRPr="00A53671">
              <w:rPr>
                <w:rFonts w:ascii="Verdana" w:eastAsia="MS Mincho" w:hAnsi="Verdana" w:cs="Times New Roman"/>
                <w:b w:val="0"/>
                <w:i/>
                <w:sz w:val="18"/>
                <w:szCs w:val="18"/>
                <w:lang w:val="hu-HU"/>
              </w:rPr>
              <w:t>, 52067/99</w:t>
            </w:r>
            <w:r w:rsidR="008730D1">
              <w:rPr>
                <w:rFonts w:ascii="Verdana" w:eastAsia="MS Mincho" w:hAnsi="Verdana" w:cs="Times New Roman"/>
                <w:b w:val="0"/>
                <w:i/>
                <w:sz w:val="18"/>
                <w:szCs w:val="18"/>
                <w:lang w:val="hu-HU"/>
              </w:rPr>
              <w:t xml:space="preserve"> sz. kérelem</w:t>
            </w:r>
            <w:r w:rsidRPr="00A53671">
              <w:rPr>
                <w:rFonts w:ascii="Verdana" w:eastAsia="MS Mincho" w:hAnsi="Verdana" w:cs="Times New Roman"/>
                <w:b w:val="0"/>
                <w:i/>
                <w:sz w:val="18"/>
                <w:szCs w:val="18"/>
                <w:lang w:val="hu-HU"/>
              </w:rPr>
              <w:t>, 70</w:t>
            </w:r>
            <w:r w:rsidR="008730D1">
              <w:rPr>
                <w:rFonts w:ascii="Verdana" w:eastAsia="MS Mincho" w:hAnsi="Verdana" w:cs="Times New Roman"/>
                <w:b w:val="0"/>
                <w:i/>
                <w:sz w:val="18"/>
                <w:szCs w:val="18"/>
                <w:lang w:val="hu-HU"/>
              </w:rPr>
              <w:t>. bekezdés</w:t>
            </w:r>
            <w:r w:rsidRPr="00A53671">
              <w:rPr>
                <w:rFonts w:ascii="Verdana" w:eastAsia="MS Mincho" w:hAnsi="Verdana" w:cs="Times New Roman"/>
                <w:b w:val="0"/>
                <w:i/>
                <w:sz w:val="18"/>
                <w:szCs w:val="18"/>
                <w:lang w:val="hu-HU"/>
              </w:rPr>
              <w:t xml:space="preserve">, </w:t>
            </w:r>
            <w:r w:rsidR="008730D1">
              <w:rPr>
                <w:rFonts w:ascii="Verdana" w:eastAsia="MS Mincho" w:hAnsi="Verdana" w:cs="Times New Roman"/>
                <w:b w:val="0"/>
                <w:i/>
                <w:sz w:val="18"/>
                <w:szCs w:val="18"/>
                <w:lang w:val="hu-HU"/>
              </w:rPr>
              <w:t>EJEB</w:t>
            </w:r>
            <w:r w:rsidRPr="00A53671">
              <w:rPr>
                <w:rFonts w:ascii="Verdana" w:eastAsia="MS Mincho" w:hAnsi="Verdana" w:cs="Times New Roman"/>
                <w:b w:val="0"/>
                <w:i/>
                <w:sz w:val="18"/>
                <w:szCs w:val="18"/>
                <w:lang w:val="hu-HU"/>
              </w:rPr>
              <w:t xml:space="preserve"> 2006-XII (</w:t>
            </w:r>
            <w:r w:rsidR="008730D1">
              <w:rPr>
                <w:rFonts w:ascii="Verdana" w:eastAsia="MS Mincho" w:hAnsi="Verdana" w:cs="Times New Roman"/>
                <w:b w:val="0"/>
                <w:i/>
                <w:sz w:val="18"/>
                <w:szCs w:val="18"/>
                <w:lang w:val="hu-HU"/>
              </w:rPr>
              <w:t>kivonat</w:t>
            </w:r>
            <w:r w:rsidRPr="00A53671">
              <w:rPr>
                <w:rFonts w:ascii="Verdana" w:eastAsia="MS Mincho" w:hAnsi="Verdana" w:cs="Times New Roman"/>
                <w:b w:val="0"/>
                <w:i/>
                <w:sz w:val="18"/>
                <w:szCs w:val="18"/>
                <w:lang w:val="hu-HU"/>
              </w:rPr>
              <w:t xml:space="preserve">)), </w:t>
            </w:r>
            <w:r w:rsidR="008730D1" w:rsidRPr="008730D1">
              <w:rPr>
                <w:rFonts w:ascii="Verdana" w:eastAsia="MS Mincho" w:hAnsi="Verdana" w:cs="Times New Roman"/>
                <w:i/>
                <w:sz w:val="18"/>
                <w:szCs w:val="18"/>
                <w:lang w:val="hu-HU"/>
              </w:rPr>
              <w:t>szisztematikusan célb</w:t>
            </w:r>
            <w:r w:rsidR="008730D1">
              <w:rPr>
                <w:rFonts w:ascii="Verdana" w:eastAsia="MS Mincho" w:hAnsi="Verdana" w:cs="Times New Roman"/>
                <w:i/>
                <w:sz w:val="18"/>
                <w:szCs w:val="18"/>
                <w:lang w:val="hu-HU"/>
              </w:rPr>
              <w:t>a</w:t>
            </w:r>
            <w:r w:rsidR="008730D1" w:rsidRPr="008730D1">
              <w:rPr>
                <w:rFonts w:ascii="Verdana" w:eastAsia="MS Mincho" w:hAnsi="Verdana" w:cs="Times New Roman"/>
                <w:i/>
                <w:sz w:val="18"/>
                <w:szCs w:val="18"/>
                <w:lang w:val="hu-HU"/>
              </w:rPr>
              <w:t xml:space="preserve"> ve</w:t>
            </w:r>
            <w:r w:rsidR="008730D1">
              <w:rPr>
                <w:rFonts w:ascii="Verdana" w:eastAsia="MS Mincho" w:hAnsi="Verdana" w:cs="Times New Roman"/>
                <w:i/>
                <w:sz w:val="18"/>
                <w:szCs w:val="18"/>
                <w:lang w:val="hu-HU"/>
              </w:rPr>
              <w:t>t</w:t>
            </w:r>
            <w:r w:rsidR="008730D1" w:rsidRPr="008730D1">
              <w:rPr>
                <w:rFonts w:ascii="Verdana" w:eastAsia="MS Mincho" w:hAnsi="Verdana" w:cs="Times New Roman"/>
                <w:i/>
                <w:sz w:val="18"/>
                <w:szCs w:val="18"/>
                <w:lang w:val="hu-HU"/>
              </w:rPr>
              <w:t>ték, és nagyon valószínű, hogy a jövőben is lehet támadásokra számítani, különösen minden év júniusában vagy júliusában</w:t>
            </w:r>
            <w:r w:rsidR="008730D1">
              <w:rPr>
                <w:rFonts w:ascii="Verdana" w:eastAsia="MS Mincho" w:hAnsi="Verdana" w:cs="Times New Roman"/>
                <w:i/>
                <w:sz w:val="18"/>
                <w:szCs w:val="18"/>
                <w:lang w:val="hu-HU"/>
              </w:rPr>
              <w:t>,</w:t>
            </w:r>
            <w:r w:rsidR="008730D1" w:rsidRPr="008730D1">
              <w:rPr>
                <w:rFonts w:ascii="Verdana" w:eastAsia="MS Mincho" w:hAnsi="Verdana" w:cs="Times New Roman"/>
                <w:i/>
                <w:sz w:val="18"/>
                <w:szCs w:val="18"/>
                <w:lang w:val="hu-HU"/>
              </w:rPr>
              <w:t xml:space="preserve"> egy nagy vallási ünnepe</w:t>
            </w:r>
            <w:r w:rsidR="008730D1">
              <w:rPr>
                <w:rFonts w:ascii="Verdana" w:eastAsia="MS Mincho" w:hAnsi="Verdana" w:cs="Times New Roman"/>
                <w:i/>
                <w:sz w:val="18"/>
                <w:szCs w:val="18"/>
                <w:lang w:val="hu-HU"/>
              </w:rPr>
              <w:t>t</w:t>
            </w:r>
            <w:r w:rsidR="008730D1" w:rsidRPr="008730D1">
              <w:rPr>
                <w:rFonts w:ascii="Verdana" w:eastAsia="MS Mincho" w:hAnsi="Verdana" w:cs="Times New Roman"/>
                <w:i/>
                <w:sz w:val="18"/>
                <w:szCs w:val="18"/>
                <w:lang w:val="hu-HU"/>
              </w:rPr>
              <w:t xml:space="preserve"> követően</w:t>
            </w:r>
            <w:r w:rsidR="008730D1">
              <w:rPr>
                <w:rFonts w:ascii="Verdana" w:eastAsia="MS Mincho" w:hAnsi="Verdana" w:cs="Times New Roman"/>
                <w:b w:val="0"/>
                <w:i/>
                <w:sz w:val="18"/>
                <w:szCs w:val="18"/>
                <w:lang w:val="hu-HU"/>
              </w:rPr>
              <w:t xml:space="preserve"> (lásd a 64. bekezdést).</w:t>
            </w:r>
            <w:proofErr w:type="gramEnd"/>
            <w:r w:rsidR="008730D1">
              <w:rPr>
                <w:rFonts w:ascii="Verdana" w:eastAsia="MS Mincho" w:hAnsi="Verdana" w:cs="Times New Roman"/>
                <w:b w:val="0"/>
                <w:i/>
                <w:sz w:val="18"/>
                <w:szCs w:val="18"/>
                <w:lang w:val="hu-HU"/>
              </w:rPr>
              <w:t xml:space="preserve"> Mégsem tettek semmit, hogy</w:t>
            </w:r>
            <w:r w:rsidR="00CB7060">
              <w:rPr>
                <w:rFonts w:ascii="Verdana" w:eastAsia="MS Mincho" w:hAnsi="Verdana" w:cs="Times New Roman"/>
                <w:b w:val="0"/>
                <w:i/>
                <w:sz w:val="18"/>
                <w:szCs w:val="18"/>
                <w:lang w:val="hu-HU"/>
              </w:rPr>
              <w:t xml:space="preserve"> a</w:t>
            </w:r>
            <w:r w:rsidR="008730D1">
              <w:rPr>
                <w:rFonts w:ascii="Verdana" w:eastAsia="MS Mincho" w:hAnsi="Verdana" w:cs="Times New Roman"/>
                <w:b w:val="0"/>
                <w:i/>
                <w:sz w:val="18"/>
                <w:szCs w:val="18"/>
                <w:lang w:val="hu-HU"/>
              </w:rPr>
              <w:t xml:space="preserve"> további két alkalommal elkövetett hasonló támadásokat megelőzzék. Semmilyen videós vagy egyéb megfigyelőrendszer</w:t>
            </w:r>
            <w:r w:rsidR="00CB7060">
              <w:rPr>
                <w:rFonts w:ascii="Verdana" w:eastAsia="MS Mincho" w:hAnsi="Verdana" w:cs="Times New Roman"/>
                <w:b w:val="0"/>
                <w:i/>
                <w:sz w:val="18"/>
                <w:szCs w:val="18"/>
                <w:lang w:val="hu-HU"/>
              </w:rPr>
              <w:t>t</w:t>
            </w:r>
            <w:r w:rsidR="008730D1">
              <w:rPr>
                <w:rFonts w:ascii="Verdana" w:eastAsia="MS Mincho" w:hAnsi="Verdana" w:cs="Times New Roman"/>
                <w:b w:val="0"/>
                <w:i/>
                <w:sz w:val="18"/>
                <w:szCs w:val="18"/>
                <w:lang w:val="hu-HU"/>
              </w:rPr>
              <w:t xml:space="preserve"> nem helyeztek üzembe a lakás környékén, ahol az incidensek történtek, </w:t>
            </w:r>
            <w:r w:rsidR="006069EC">
              <w:rPr>
                <w:rFonts w:ascii="Verdana" w:eastAsia="MS Mincho" w:hAnsi="Verdana" w:cs="Times New Roman"/>
                <w:b w:val="0"/>
                <w:i/>
                <w:sz w:val="18"/>
                <w:szCs w:val="18"/>
                <w:lang w:val="hu-HU"/>
              </w:rPr>
              <w:t xml:space="preserve">úgy tűnik, hogy egyáltalán semmilyen rendőri megfigyelést nem is vettek fontolóra és a kérelmezőnek soha nem ajánlottak föl speciális biztonsági osztag általi védelmet sem, ami elrettenthette volna a támadóit. </w:t>
            </w:r>
          </w:p>
          <w:p w:rsidR="00FE7416" w:rsidRPr="00A53671" w:rsidRDefault="00FE7416" w:rsidP="00D231D8">
            <w:pPr>
              <w:ind w:left="720"/>
              <w:contextualSpacing/>
              <w:jc w:val="both"/>
              <w:rPr>
                <w:rFonts w:ascii="Verdana" w:eastAsia="MS Mincho" w:hAnsi="Verdana" w:cs="Times New Roman"/>
                <w:b w:val="0"/>
                <w:i/>
                <w:sz w:val="18"/>
                <w:szCs w:val="18"/>
                <w:lang w:val="hu-HU"/>
              </w:rPr>
            </w:pPr>
          </w:p>
          <w:p w:rsidR="00FE7416" w:rsidRPr="00D147D9" w:rsidRDefault="00FE7416" w:rsidP="00D147D9">
            <w:pPr>
              <w:ind w:left="720"/>
              <w:contextualSpacing/>
              <w:jc w:val="both"/>
              <w:rPr>
                <w:rFonts w:ascii="Verdana" w:eastAsia="MS Mincho" w:hAnsi="Verdana" w:cs="Times New Roman"/>
                <w:bCs w:val="0"/>
                <w:sz w:val="18"/>
                <w:szCs w:val="18"/>
                <w:lang w:val="hu-HU"/>
              </w:rPr>
            </w:pPr>
            <w:r w:rsidRPr="00A53671">
              <w:rPr>
                <w:rFonts w:ascii="Verdana" w:eastAsia="MS Mincho" w:hAnsi="Verdana" w:cs="Times New Roman"/>
                <w:b w:val="0"/>
                <w:i/>
                <w:sz w:val="18"/>
                <w:szCs w:val="18"/>
                <w:u w:val="single"/>
                <w:lang w:val="hu-HU"/>
              </w:rPr>
              <w:t>90</w:t>
            </w:r>
            <w:r w:rsidR="006069EC">
              <w:rPr>
                <w:rFonts w:ascii="Verdana" w:eastAsia="MS Mincho" w:hAnsi="Verdana" w:cs="Times New Roman"/>
                <w:b w:val="0"/>
                <w:i/>
                <w:sz w:val="18"/>
                <w:szCs w:val="18"/>
                <w:u w:val="single"/>
                <w:lang w:val="hu-HU"/>
              </w:rPr>
              <w:t>. bekezdés</w:t>
            </w:r>
            <w:r w:rsidRPr="00A53671">
              <w:rPr>
                <w:rFonts w:ascii="Verdana" w:eastAsia="MS Mincho" w:hAnsi="Verdana" w:cs="Times New Roman"/>
                <w:b w:val="0"/>
                <w:i/>
                <w:sz w:val="18"/>
                <w:szCs w:val="18"/>
                <w:lang w:val="hu-HU"/>
              </w:rPr>
              <w:t xml:space="preserve">: </w:t>
            </w:r>
            <w:r w:rsidR="006069EC">
              <w:rPr>
                <w:rFonts w:ascii="Verdana" w:eastAsia="MS Mincho" w:hAnsi="Verdana" w:cs="Times New Roman"/>
                <w:b w:val="0"/>
                <w:i/>
                <w:sz w:val="18"/>
                <w:szCs w:val="18"/>
                <w:lang w:val="hu-HU"/>
              </w:rPr>
              <w:t xml:space="preserve">Az előzőek tükrében </w:t>
            </w:r>
            <w:r w:rsidR="00CB7060">
              <w:rPr>
                <w:rFonts w:ascii="Verdana" w:eastAsia="MS Mincho" w:hAnsi="Verdana" w:cs="Times New Roman"/>
                <w:b w:val="0"/>
                <w:i/>
                <w:sz w:val="18"/>
                <w:szCs w:val="18"/>
                <w:lang w:val="hu-HU"/>
              </w:rPr>
              <w:t>a válaszadó állam hatóságai</w:t>
            </w:r>
            <w:r w:rsidR="006069EC">
              <w:rPr>
                <w:rFonts w:ascii="Verdana" w:eastAsia="MS Mincho" w:hAnsi="Verdana" w:cs="Times New Roman"/>
                <w:b w:val="0"/>
                <w:i/>
                <w:sz w:val="18"/>
                <w:szCs w:val="18"/>
                <w:lang w:val="hu-HU"/>
              </w:rPr>
              <w:t>– annak ellenére, hogy sok lépés</w:t>
            </w:r>
            <w:r w:rsidR="00CB7060">
              <w:rPr>
                <w:rFonts w:ascii="Verdana" w:eastAsia="MS Mincho" w:hAnsi="Verdana" w:cs="Times New Roman"/>
                <w:b w:val="0"/>
                <w:i/>
                <w:sz w:val="18"/>
                <w:szCs w:val="18"/>
                <w:lang w:val="hu-HU"/>
              </w:rPr>
              <w:t>t</w:t>
            </w:r>
            <w:r w:rsidR="006069EC">
              <w:rPr>
                <w:rFonts w:ascii="Verdana" w:eastAsia="MS Mincho" w:hAnsi="Verdana" w:cs="Times New Roman"/>
                <w:b w:val="0"/>
                <w:i/>
                <w:sz w:val="18"/>
                <w:szCs w:val="18"/>
                <w:lang w:val="hu-HU"/>
              </w:rPr>
              <w:t xml:space="preserve"> tettek és jelentős objektív nehézségekbe ütköztek, </w:t>
            </w:r>
            <w:r w:rsidR="00CB7060">
              <w:rPr>
                <w:rFonts w:ascii="Verdana" w:eastAsia="MS Mincho" w:hAnsi="Verdana" w:cs="Times New Roman"/>
                <w:b w:val="0"/>
                <w:i/>
                <w:sz w:val="18"/>
                <w:szCs w:val="18"/>
                <w:lang w:val="hu-HU"/>
              </w:rPr>
              <w:t>mint</w:t>
            </w:r>
            <w:r w:rsidR="006069EC">
              <w:rPr>
                <w:rFonts w:ascii="Verdana" w:eastAsia="MS Mincho" w:hAnsi="Verdana" w:cs="Times New Roman"/>
                <w:b w:val="0"/>
                <w:i/>
                <w:sz w:val="18"/>
                <w:szCs w:val="18"/>
                <w:lang w:val="hu-HU"/>
              </w:rPr>
              <w:t xml:space="preserve"> például a kérelmező támadóiról adott eléggé homályos személyleírása é</w:t>
            </w:r>
            <w:r w:rsidR="006069EC" w:rsidRPr="00D147D9">
              <w:rPr>
                <w:rFonts w:ascii="Verdana" w:eastAsia="MS Mincho" w:hAnsi="Verdana" w:cs="Times New Roman"/>
                <w:b w:val="0"/>
                <w:i/>
                <w:sz w:val="18"/>
                <w:szCs w:val="18"/>
                <w:lang w:val="hu-HU"/>
              </w:rPr>
              <w:t xml:space="preserve">s a szemtanúk látszólagos hiánya – a Bíróság álláspontja szerint nem tettek meg minden tőlük elvárható intézkedést a megfelelő vizsgálat lefolytatására. Nem tettek semmilyen ésszerű és </w:t>
            </w:r>
            <w:r w:rsidR="004B248E">
              <w:rPr>
                <w:rFonts w:ascii="Verdana" w:eastAsia="MS Mincho" w:hAnsi="Verdana" w:cs="Times New Roman"/>
                <w:b w:val="0"/>
                <w:i/>
                <w:sz w:val="18"/>
                <w:szCs w:val="18"/>
                <w:lang w:val="hu-HU"/>
              </w:rPr>
              <w:t>érdemi</w:t>
            </w:r>
            <w:r w:rsidR="006069EC" w:rsidRPr="00D147D9">
              <w:rPr>
                <w:rFonts w:ascii="Verdana" w:eastAsia="MS Mincho" w:hAnsi="Verdana" w:cs="Times New Roman"/>
                <w:b w:val="0"/>
                <w:i/>
                <w:sz w:val="18"/>
                <w:szCs w:val="18"/>
                <w:lang w:val="hu-HU"/>
              </w:rPr>
              <w:t xml:space="preserve"> lépést annak érdekében sem, hogy a</w:t>
            </w:r>
            <w:r w:rsidR="004B248E">
              <w:rPr>
                <w:rFonts w:ascii="Verdana" w:eastAsia="MS Mincho" w:hAnsi="Verdana" w:cs="Times New Roman"/>
                <w:b w:val="0"/>
                <w:i/>
                <w:sz w:val="18"/>
                <w:szCs w:val="18"/>
                <w:lang w:val="hu-HU"/>
              </w:rPr>
              <w:t xml:space="preserve"> </w:t>
            </w:r>
            <w:r w:rsidR="006069EC" w:rsidRPr="00D147D9">
              <w:rPr>
                <w:rFonts w:ascii="Verdana" w:eastAsia="MS Mincho" w:hAnsi="Verdana" w:cs="Times New Roman"/>
                <w:b w:val="0"/>
                <w:i/>
                <w:sz w:val="18"/>
                <w:szCs w:val="18"/>
                <w:lang w:val="hu-HU"/>
              </w:rPr>
              <w:t>kérelmezőt ért ismételt bántalmazások</w:t>
            </w:r>
            <w:r w:rsidR="00D147D9" w:rsidRPr="00D147D9">
              <w:rPr>
                <w:rFonts w:ascii="Verdana" w:eastAsia="MS Mincho" w:hAnsi="Verdana" w:cs="Times New Roman"/>
                <w:b w:val="0"/>
                <w:i/>
                <w:sz w:val="18"/>
                <w:szCs w:val="18"/>
                <w:lang w:val="hu-HU"/>
              </w:rPr>
              <w:t>at</w:t>
            </w:r>
            <w:r w:rsidR="006069EC" w:rsidRPr="00D147D9">
              <w:rPr>
                <w:rFonts w:ascii="Verdana" w:eastAsia="MS Mincho" w:hAnsi="Verdana" w:cs="Times New Roman"/>
                <w:b w:val="0"/>
                <w:i/>
                <w:sz w:val="18"/>
                <w:szCs w:val="18"/>
                <w:lang w:val="hu-HU"/>
              </w:rPr>
              <w:t xml:space="preserve"> megelőz</w:t>
            </w:r>
            <w:r w:rsidR="00D147D9" w:rsidRPr="00D147D9">
              <w:rPr>
                <w:rFonts w:ascii="Verdana" w:eastAsia="MS Mincho" w:hAnsi="Verdana" w:cs="Times New Roman"/>
                <w:b w:val="0"/>
                <w:i/>
                <w:sz w:val="18"/>
                <w:szCs w:val="18"/>
                <w:lang w:val="hu-HU"/>
              </w:rPr>
              <w:t>zék, annak ellenére, hogy ennek folytatólagos kockázata valósan, közvetlenül és előreláthatóan fennált.</w:t>
            </w:r>
          </w:p>
          <w:p w:rsidR="00FE7416" w:rsidRPr="00A53671" w:rsidRDefault="00FE7416" w:rsidP="00D231D8">
            <w:pPr>
              <w:ind w:left="720"/>
              <w:contextualSpacing/>
              <w:jc w:val="both"/>
              <w:rPr>
                <w:rFonts w:ascii="Verdana" w:eastAsia="MS Mincho" w:hAnsi="Verdana" w:cs="Times New Roman"/>
                <w:sz w:val="18"/>
                <w:szCs w:val="18"/>
                <w:lang w:val="hu-HU"/>
              </w:rPr>
            </w:pPr>
          </w:p>
          <w:p w:rsidR="00FE7416" w:rsidRPr="00A53671" w:rsidRDefault="00FE7416" w:rsidP="00D231D8">
            <w:pPr>
              <w:ind w:left="720"/>
              <w:contextualSpacing/>
              <w:jc w:val="both"/>
              <w:rPr>
                <w:rFonts w:ascii="Verdana" w:eastAsia="MS Mincho" w:hAnsi="Verdana" w:cs="Times New Roman"/>
                <w:b w:val="0"/>
                <w:i/>
                <w:sz w:val="18"/>
                <w:szCs w:val="18"/>
                <w:lang w:val="hu-HU"/>
              </w:rPr>
            </w:pPr>
            <w:proofErr w:type="gramStart"/>
            <w:r w:rsidRPr="00A53671">
              <w:rPr>
                <w:rFonts w:ascii="Verdana" w:eastAsia="MS Mincho" w:hAnsi="Verdana" w:cs="Times New Roman"/>
                <w:b w:val="0"/>
                <w:i/>
                <w:sz w:val="18"/>
                <w:szCs w:val="18"/>
                <w:u w:val="single"/>
                <w:lang w:val="hu-HU"/>
              </w:rPr>
              <w:t>100</w:t>
            </w:r>
            <w:r w:rsidR="00D147D9">
              <w:rPr>
                <w:rFonts w:ascii="Verdana" w:eastAsia="MS Mincho" w:hAnsi="Verdana" w:cs="Times New Roman"/>
                <w:b w:val="0"/>
                <w:i/>
                <w:sz w:val="18"/>
                <w:szCs w:val="18"/>
                <w:u w:val="single"/>
                <w:lang w:val="hu-HU"/>
              </w:rPr>
              <w:t>. bekezdés</w:t>
            </w:r>
            <w:r w:rsidRPr="00A53671">
              <w:rPr>
                <w:rFonts w:ascii="Verdana" w:eastAsia="MS Mincho" w:hAnsi="Verdana" w:cs="Times New Roman"/>
                <w:b w:val="0"/>
                <w:i/>
                <w:sz w:val="18"/>
                <w:szCs w:val="18"/>
                <w:lang w:val="hu-HU"/>
              </w:rPr>
              <w:t xml:space="preserve">:  </w:t>
            </w:r>
            <w:r w:rsidR="00D147D9">
              <w:rPr>
                <w:rFonts w:ascii="Verdana" w:eastAsia="MS Mincho" w:hAnsi="Verdana" w:cs="Times New Roman"/>
                <w:b w:val="0"/>
                <w:i/>
                <w:sz w:val="18"/>
                <w:szCs w:val="18"/>
                <w:lang w:val="hu-HU"/>
              </w:rPr>
              <w:t xml:space="preserve">Végül, de talán legfontosabb tényként megjegyezzük, hogy maga a rendőrség hivatkozott a kérelmező jól ismert vallási meggyőződésére, </w:t>
            </w:r>
            <w:r w:rsidR="00CB7060">
              <w:rPr>
                <w:rFonts w:ascii="Verdana" w:eastAsia="MS Mincho" w:hAnsi="Verdana" w:cs="Times New Roman"/>
                <w:b w:val="0"/>
                <w:i/>
                <w:sz w:val="18"/>
                <w:szCs w:val="18"/>
                <w:lang w:val="hu-HU"/>
              </w:rPr>
              <w:t>illetve</w:t>
            </w:r>
            <w:r w:rsidR="00D147D9">
              <w:rPr>
                <w:rFonts w:ascii="Verdana" w:eastAsia="MS Mincho" w:hAnsi="Verdana" w:cs="Times New Roman"/>
                <w:b w:val="0"/>
                <w:i/>
                <w:sz w:val="18"/>
                <w:szCs w:val="18"/>
                <w:lang w:val="hu-HU"/>
              </w:rPr>
              <w:t xml:space="preserve"> „furcsa megjelenésére</w:t>
            </w:r>
            <w:r w:rsidR="00CB7060">
              <w:rPr>
                <w:rFonts w:ascii="Verdana" w:eastAsia="MS Mincho" w:hAnsi="Verdana" w:cs="Times New Roman"/>
                <w:b w:val="0"/>
                <w:i/>
                <w:sz w:val="18"/>
                <w:szCs w:val="18"/>
                <w:lang w:val="hu-HU"/>
              </w:rPr>
              <w:t>,</w:t>
            </w:r>
            <w:r w:rsidR="00D147D9">
              <w:rPr>
                <w:rFonts w:ascii="Verdana" w:eastAsia="MS Mincho" w:hAnsi="Verdana" w:cs="Times New Roman"/>
                <w:b w:val="0"/>
                <w:i/>
                <w:sz w:val="18"/>
                <w:szCs w:val="18"/>
                <w:lang w:val="hu-HU"/>
              </w:rPr>
              <w:t>” és látszólag különös jelentőséget tulajdonított annak a „ténynek”, hogy a legtöbb kérelmezőt ért támadást egy fontos ortodox ünnep vagy után jelentették, és hogy a támadásokat a kérelmező utólag nyilvánosságra hozta a médiában a saját vallásos kötődésével összefüggésben</w:t>
            </w:r>
            <w:r w:rsidRPr="00A53671">
              <w:rPr>
                <w:rFonts w:ascii="Verdana" w:eastAsia="MS Mincho" w:hAnsi="Verdana" w:cs="Times New Roman"/>
                <w:b w:val="0"/>
                <w:i/>
                <w:sz w:val="18"/>
                <w:szCs w:val="18"/>
                <w:lang w:val="hu-HU"/>
              </w:rPr>
              <w:t xml:space="preserve"> (</w:t>
            </w:r>
            <w:r w:rsidR="00D147D9">
              <w:rPr>
                <w:rFonts w:ascii="Verdana" w:eastAsia="MS Mincho" w:hAnsi="Verdana" w:cs="Times New Roman"/>
                <w:b w:val="0"/>
                <w:i/>
                <w:sz w:val="18"/>
                <w:szCs w:val="18"/>
                <w:lang w:val="hu-HU"/>
              </w:rPr>
              <w:t>lásd</w:t>
            </w:r>
            <w:r w:rsidRPr="00A53671">
              <w:rPr>
                <w:rFonts w:ascii="Verdana" w:eastAsia="MS Mincho" w:hAnsi="Verdana" w:cs="Times New Roman"/>
                <w:b w:val="0"/>
                <w:i/>
                <w:sz w:val="18"/>
                <w:szCs w:val="18"/>
                <w:lang w:val="hu-HU"/>
              </w:rPr>
              <w:t xml:space="preserve"> 22</w:t>
            </w:r>
            <w:r w:rsidR="00D147D9">
              <w:rPr>
                <w:rFonts w:ascii="Verdana" w:eastAsia="MS Mincho" w:hAnsi="Verdana" w:cs="Times New Roman"/>
                <w:b w:val="0"/>
                <w:i/>
                <w:sz w:val="18"/>
                <w:szCs w:val="18"/>
                <w:lang w:val="hu-HU"/>
              </w:rPr>
              <w:t>.és</w:t>
            </w:r>
            <w:r w:rsidRPr="00A53671">
              <w:rPr>
                <w:rFonts w:ascii="Verdana" w:eastAsia="MS Mincho" w:hAnsi="Verdana" w:cs="Times New Roman"/>
                <w:b w:val="0"/>
                <w:i/>
                <w:sz w:val="18"/>
                <w:szCs w:val="18"/>
                <w:lang w:val="hu-HU"/>
              </w:rPr>
              <w:t xml:space="preserve"> 64</w:t>
            </w:r>
            <w:r w:rsidR="00D147D9">
              <w:rPr>
                <w:rFonts w:ascii="Verdana" w:eastAsia="MS Mincho" w:hAnsi="Verdana" w:cs="Times New Roman"/>
                <w:b w:val="0"/>
                <w:i/>
                <w:sz w:val="18"/>
                <w:szCs w:val="18"/>
                <w:lang w:val="hu-HU"/>
              </w:rPr>
              <w:t>. bekezdés</w:t>
            </w:r>
            <w:r w:rsidRPr="00A53671">
              <w:rPr>
                <w:rFonts w:ascii="Verdana" w:eastAsia="MS Mincho" w:hAnsi="Verdana" w:cs="Times New Roman"/>
                <w:b w:val="0"/>
                <w:i/>
                <w:sz w:val="18"/>
                <w:szCs w:val="18"/>
                <w:lang w:val="hu-HU"/>
              </w:rPr>
              <w:t>).</w:t>
            </w:r>
            <w:proofErr w:type="gramEnd"/>
            <w:r w:rsidRPr="00A53671">
              <w:rPr>
                <w:rFonts w:ascii="Verdana" w:eastAsia="MS Mincho" w:hAnsi="Verdana" w:cs="Times New Roman"/>
                <w:b w:val="0"/>
                <w:i/>
                <w:sz w:val="18"/>
                <w:szCs w:val="18"/>
                <w:lang w:val="hu-HU"/>
              </w:rPr>
              <w:t xml:space="preserve"> </w:t>
            </w:r>
            <w:r w:rsidR="00D147D9">
              <w:rPr>
                <w:rFonts w:ascii="Verdana" w:eastAsia="MS Mincho" w:hAnsi="Verdana" w:cs="Times New Roman"/>
                <w:b w:val="0"/>
                <w:i/>
                <w:sz w:val="18"/>
                <w:szCs w:val="18"/>
                <w:lang w:val="hu-HU"/>
              </w:rPr>
              <w:t>A Bíróság most is úgy véli, hogy ezek a vélemények önmagukban is azt jelzik, hogy a rendőrségnek súlyos kétségei voltak a kérelmező vallását illetően</w:t>
            </w:r>
            <w:r w:rsidR="00CB7060">
              <w:rPr>
                <w:rFonts w:ascii="Verdana" w:eastAsia="MS Mincho" w:hAnsi="Verdana" w:cs="Times New Roman"/>
                <w:b w:val="0"/>
                <w:i/>
                <w:sz w:val="18"/>
                <w:szCs w:val="18"/>
                <w:lang w:val="hu-HU"/>
              </w:rPr>
              <w:t>,</w:t>
            </w:r>
            <w:r w:rsidR="00D147D9">
              <w:rPr>
                <w:rFonts w:ascii="Verdana" w:eastAsia="MS Mincho" w:hAnsi="Verdana" w:cs="Times New Roman"/>
                <w:b w:val="0"/>
                <w:i/>
                <w:sz w:val="18"/>
                <w:szCs w:val="18"/>
                <w:lang w:val="hu-HU"/>
              </w:rPr>
              <w:t xml:space="preserve"> és azzal kapcsolatban</w:t>
            </w:r>
            <w:r w:rsidR="00CB7060">
              <w:rPr>
                <w:rFonts w:ascii="Verdana" w:eastAsia="MS Mincho" w:hAnsi="Verdana" w:cs="Times New Roman"/>
                <w:b w:val="0"/>
                <w:i/>
                <w:sz w:val="18"/>
                <w:szCs w:val="18"/>
                <w:lang w:val="hu-HU"/>
              </w:rPr>
              <w:t xml:space="preserve"> is</w:t>
            </w:r>
            <w:r w:rsidR="00D147D9">
              <w:rPr>
                <w:rFonts w:ascii="Verdana" w:eastAsia="MS Mincho" w:hAnsi="Verdana" w:cs="Times New Roman"/>
                <w:b w:val="0"/>
                <w:i/>
                <w:sz w:val="18"/>
                <w:szCs w:val="18"/>
                <w:lang w:val="hu-HU"/>
              </w:rPr>
              <w:t>, hogy vajon valóban áldozat-e</w:t>
            </w:r>
            <w:r w:rsidR="001F550F">
              <w:rPr>
                <w:rFonts w:ascii="Verdana" w:eastAsia="MS Mincho" w:hAnsi="Verdana" w:cs="Times New Roman"/>
                <w:b w:val="0"/>
                <w:i/>
                <w:sz w:val="18"/>
                <w:szCs w:val="18"/>
                <w:lang w:val="hu-HU"/>
              </w:rPr>
              <w:t xml:space="preserve">, </w:t>
            </w:r>
            <w:r w:rsidR="00CB7060">
              <w:rPr>
                <w:rFonts w:ascii="Verdana" w:eastAsia="MS Mincho" w:hAnsi="Verdana" w:cs="Times New Roman"/>
                <w:b w:val="0"/>
                <w:i/>
                <w:sz w:val="18"/>
                <w:szCs w:val="18"/>
                <w:lang w:val="hu-HU"/>
              </w:rPr>
              <w:t>noha</w:t>
            </w:r>
            <w:r w:rsidR="001F550F">
              <w:rPr>
                <w:rFonts w:ascii="Verdana" w:eastAsia="MS Mincho" w:hAnsi="Verdana" w:cs="Times New Roman"/>
                <w:b w:val="0"/>
                <w:i/>
                <w:sz w:val="18"/>
                <w:szCs w:val="18"/>
                <w:lang w:val="hu-HU"/>
              </w:rPr>
              <w:t xml:space="preserve"> ezeket a kétségeket semmilyen bizonyíték nem támasztotta alá. Ebből következik, hogy még ha a hatóságok </w:t>
            </w:r>
            <w:r w:rsidR="001F550F" w:rsidRPr="001F550F">
              <w:rPr>
                <w:rFonts w:ascii="Verdana" w:eastAsia="MS Mincho" w:hAnsi="Verdana" w:cs="Times New Roman"/>
                <w:b w:val="0"/>
                <w:i/>
                <w:sz w:val="18"/>
                <w:szCs w:val="18"/>
                <w:lang w:val="hu-HU"/>
              </w:rPr>
              <w:t>számos a kérelmező által felvetett, a támadói motivációjával kapcsolatos nyomot megvizsgáltak</w:t>
            </w:r>
            <w:r w:rsidR="005334FC">
              <w:rPr>
                <w:rFonts w:ascii="Verdana" w:eastAsia="MS Mincho" w:hAnsi="Verdana" w:cs="Times New Roman"/>
                <w:b w:val="0"/>
                <w:i/>
                <w:sz w:val="18"/>
                <w:szCs w:val="18"/>
                <w:lang w:val="hu-HU"/>
              </w:rPr>
              <w:t xml:space="preserve"> is</w:t>
            </w:r>
            <w:r w:rsidR="001F550F" w:rsidRPr="001F550F">
              <w:rPr>
                <w:rFonts w:ascii="Verdana" w:eastAsia="MS Mincho" w:hAnsi="Verdana" w:cs="Times New Roman"/>
                <w:b w:val="0"/>
                <w:i/>
                <w:sz w:val="18"/>
                <w:szCs w:val="18"/>
                <w:lang w:val="hu-HU"/>
              </w:rPr>
              <w:t>, ezek a lépések alig vezettek többre, mint látszatnyomozásra.</w:t>
            </w:r>
          </w:p>
        </w:tc>
      </w:tr>
    </w:tbl>
    <w:p w:rsidR="005D0114" w:rsidRDefault="005D0114" w:rsidP="00F96F17">
      <w:pPr>
        <w:ind w:firstLine="720"/>
        <w:jc w:val="both"/>
        <w:rPr>
          <w:rFonts w:ascii="Times New Roman" w:hAnsi="Times New Roman" w:cs="Times New Roman"/>
          <w:iCs/>
          <w:sz w:val="24"/>
          <w:szCs w:val="24"/>
        </w:rPr>
      </w:pPr>
    </w:p>
    <w:p w:rsidR="00204DB2" w:rsidRPr="00F1231E" w:rsidRDefault="00CB7060" w:rsidP="00F96F17">
      <w:pPr>
        <w:ind w:firstLine="720"/>
        <w:jc w:val="both"/>
        <w:rPr>
          <w:rFonts w:ascii="Times New Roman" w:hAnsi="Times New Roman" w:cs="Times New Roman"/>
          <w:iCs/>
          <w:sz w:val="24"/>
          <w:szCs w:val="24"/>
        </w:rPr>
      </w:pPr>
      <w:r>
        <w:rPr>
          <w:rFonts w:ascii="Times New Roman" w:hAnsi="Times New Roman" w:cs="Times New Roman"/>
          <w:iCs/>
          <w:sz w:val="24"/>
          <w:szCs w:val="24"/>
        </w:rPr>
        <w:lastRenderedPageBreak/>
        <w:t>E</w:t>
      </w:r>
      <w:r w:rsidR="00F1231E">
        <w:rPr>
          <w:rFonts w:ascii="Times New Roman" w:hAnsi="Times New Roman" w:cs="Times New Roman"/>
          <w:iCs/>
          <w:sz w:val="24"/>
          <w:szCs w:val="24"/>
        </w:rPr>
        <w:t xml:space="preserve">llentétben azzal az elterjedt nézettel, hogy a </w:t>
      </w:r>
      <w:r w:rsidR="00A70C6D">
        <w:rPr>
          <w:rFonts w:ascii="Times New Roman" w:hAnsi="Times New Roman" w:cs="Times New Roman"/>
          <w:iCs/>
          <w:sz w:val="24"/>
          <w:szCs w:val="24"/>
        </w:rPr>
        <w:t>gyűlölet-bűncselekmény</w:t>
      </w:r>
      <w:r w:rsidR="00F1231E">
        <w:rPr>
          <w:rFonts w:ascii="Times New Roman" w:hAnsi="Times New Roman" w:cs="Times New Roman"/>
          <w:iCs/>
          <w:sz w:val="24"/>
          <w:szCs w:val="24"/>
        </w:rPr>
        <w:t xml:space="preserve">ek mögött húzódó mentalitás </w:t>
      </w:r>
      <w:r w:rsidR="00EC3B5A">
        <w:rPr>
          <w:rFonts w:ascii="Times New Roman" w:hAnsi="Times New Roman" w:cs="Times New Roman"/>
          <w:iCs/>
          <w:sz w:val="24"/>
          <w:szCs w:val="24"/>
        </w:rPr>
        <w:t>csak</w:t>
      </w:r>
      <w:r w:rsidR="00F1231E">
        <w:rPr>
          <w:rFonts w:ascii="Times New Roman" w:hAnsi="Times New Roman" w:cs="Times New Roman"/>
          <w:iCs/>
          <w:sz w:val="24"/>
          <w:szCs w:val="24"/>
        </w:rPr>
        <w:t xml:space="preserve"> a szélsőségesek</w:t>
      </w:r>
      <w:r w:rsidR="004B248E">
        <w:rPr>
          <w:rFonts w:ascii="Times New Roman" w:hAnsi="Times New Roman" w:cs="Times New Roman"/>
          <w:iCs/>
          <w:sz w:val="24"/>
          <w:szCs w:val="24"/>
        </w:rPr>
        <w:t xml:space="preserve"> </w:t>
      </w:r>
      <w:r w:rsidR="00F1231E">
        <w:rPr>
          <w:rFonts w:ascii="Times New Roman" w:hAnsi="Times New Roman" w:cs="Times New Roman"/>
          <w:iCs/>
          <w:sz w:val="24"/>
          <w:szCs w:val="24"/>
        </w:rPr>
        <w:t xml:space="preserve">(pl. a szélsőjobb), a bűnözők vagy akár az írástudatlanok – a feltételezés itt az, hogy az oktatás megszünteti az emberekben a vadságot – köreiben </w:t>
      </w:r>
      <w:r w:rsidR="00EC3B5A">
        <w:rPr>
          <w:rFonts w:ascii="Times New Roman" w:hAnsi="Times New Roman" w:cs="Times New Roman"/>
          <w:iCs/>
          <w:sz w:val="24"/>
          <w:szCs w:val="24"/>
        </w:rPr>
        <w:t xml:space="preserve">létezik, ez a fajta mentalitás nem kizárólag a társadalom marginális és/vagy marginalizált rétegeinél található meg. Ellenkezőleg: az előítéletes nézetek kialakulásában szerepet játszó tényezők </w:t>
      </w:r>
      <w:r w:rsidR="00F1231E">
        <w:rPr>
          <w:rFonts w:ascii="Times New Roman" w:hAnsi="Times New Roman" w:cs="Times New Roman"/>
          <w:iCs/>
          <w:sz w:val="24"/>
          <w:szCs w:val="24"/>
        </w:rPr>
        <w:t>a</w:t>
      </w:r>
      <w:r w:rsidR="00EC3B5A">
        <w:rPr>
          <w:rFonts w:ascii="Times New Roman" w:hAnsi="Times New Roman" w:cs="Times New Roman"/>
          <w:iCs/>
          <w:sz w:val="24"/>
          <w:szCs w:val="24"/>
        </w:rPr>
        <w:t xml:space="preserve"> „normál” társa</w:t>
      </w:r>
      <w:r w:rsidR="005334FC">
        <w:rPr>
          <w:rFonts w:ascii="Times New Roman" w:hAnsi="Times New Roman" w:cs="Times New Roman"/>
          <w:iCs/>
          <w:sz w:val="24"/>
          <w:szCs w:val="24"/>
        </w:rPr>
        <w:t>dalmi</w:t>
      </w:r>
      <w:r w:rsidR="00EC3B5A">
        <w:rPr>
          <w:rFonts w:ascii="Times New Roman" w:hAnsi="Times New Roman" w:cs="Times New Roman"/>
          <w:iCs/>
          <w:sz w:val="24"/>
          <w:szCs w:val="24"/>
        </w:rPr>
        <w:t xml:space="preserve"> élet gyakorlatilag minden vetületében megtalálhatók, a gyűlölet</w:t>
      </w:r>
      <w:r w:rsidR="002E5157">
        <w:rPr>
          <w:rFonts w:ascii="Times New Roman" w:hAnsi="Times New Roman" w:cs="Times New Roman"/>
          <w:iCs/>
          <w:sz w:val="24"/>
          <w:szCs w:val="24"/>
        </w:rPr>
        <w:t>-</w:t>
      </w:r>
      <w:r w:rsidR="00EC3B5A">
        <w:rPr>
          <w:rFonts w:ascii="Times New Roman" w:hAnsi="Times New Roman" w:cs="Times New Roman"/>
          <w:iCs/>
          <w:sz w:val="24"/>
          <w:szCs w:val="24"/>
        </w:rPr>
        <w:t>bűncselekmények pedig egyszerűen</w:t>
      </w:r>
      <w:r w:rsidR="004B248E">
        <w:rPr>
          <w:rFonts w:ascii="Times New Roman" w:hAnsi="Times New Roman" w:cs="Times New Roman"/>
          <w:iCs/>
          <w:sz w:val="24"/>
          <w:szCs w:val="24"/>
        </w:rPr>
        <w:t xml:space="preserve"> </w:t>
      </w:r>
      <w:r w:rsidR="00EC3B5A">
        <w:rPr>
          <w:rFonts w:ascii="Times New Roman" w:hAnsi="Times New Roman" w:cs="Times New Roman"/>
          <w:iCs/>
          <w:sz w:val="24"/>
          <w:szCs w:val="24"/>
        </w:rPr>
        <w:t xml:space="preserve">csak a felfokozott vagy végső stádiumát jelentik </w:t>
      </w:r>
      <w:r w:rsidR="002E5157">
        <w:rPr>
          <w:rFonts w:ascii="Times New Roman" w:hAnsi="Times New Roman" w:cs="Times New Roman"/>
          <w:iCs/>
          <w:sz w:val="24"/>
          <w:szCs w:val="24"/>
        </w:rPr>
        <w:t>annak a folyamatos csoportbántalmazásnak, amely az esetek többségében már hosszú ideje jelen van</w:t>
      </w:r>
      <w:r w:rsidR="004B248E">
        <w:rPr>
          <w:rFonts w:ascii="Times New Roman" w:hAnsi="Times New Roman" w:cs="Times New Roman"/>
          <w:iCs/>
          <w:sz w:val="24"/>
          <w:szCs w:val="24"/>
        </w:rPr>
        <w:t>,</w:t>
      </w:r>
      <w:r w:rsidR="002E5157">
        <w:rPr>
          <w:rFonts w:ascii="Times New Roman" w:hAnsi="Times New Roman" w:cs="Times New Roman"/>
          <w:iCs/>
          <w:sz w:val="24"/>
          <w:szCs w:val="24"/>
        </w:rPr>
        <w:t xml:space="preserve"> és formálódik.</w:t>
      </w:r>
      <w:r w:rsidR="000D4FE0" w:rsidRPr="00F1231E">
        <w:rPr>
          <w:rStyle w:val="Lbjegyzet-hivatkozs"/>
          <w:rFonts w:ascii="Times New Roman" w:hAnsi="Times New Roman" w:cs="Times New Roman"/>
          <w:iCs/>
          <w:sz w:val="24"/>
          <w:szCs w:val="24"/>
        </w:rPr>
        <w:footnoteReference w:id="18"/>
      </w:r>
    </w:p>
    <w:p w:rsidR="001643EB" w:rsidRPr="00F1231E" w:rsidRDefault="002E5157" w:rsidP="002E5157">
      <w:pPr>
        <w:ind w:firstLine="720"/>
        <w:jc w:val="both"/>
        <w:rPr>
          <w:rFonts w:ascii="Times New Roman" w:hAnsi="Times New Roman" w:cs="Times New Roman"/>
          <w:iCs/>
          <w:sz w:val="24"/>
          <w:szCs w:val="24"/>
        </w:rPr>
      </w:pPr>
      <w:r>
        <w:rPr>
          <w:rFonts w:ascii="Times New Roman" w:hAnsi="Times New Roman" w:cs="Times New Roman"/>
          <w:iCs/>
          <w:sz w:val="24"/>
          <w:szCs w:val="24"/>
        </w:rPr>
        <w:t>Az előítéleten alapuló vélemények kialakulásában szerepet játszó tényezők lehetnek például az oktatási rendszerben, a családban és/vagy a társ</w:t>
      </w:r>
      <w:r w:rsidR="004B248E">
        <w:rPr>
          <w:rFonts w:ascii="Times New Roman" w:hAnsi="Times New Roman" w:cs="Times New Roman"/>
          <w:iCs/>
          <w:sz w:val="24"/>
          <w:szCs w:val="24"/>
        </w:rPr>
        <w:t xml:space="preserve">as </w:t>
      </w:r>
      <w:r>
        <w:rPr>
          <w:rFonts w:ascii="Times New Roman" w:hAnsi="Times New Roman" w:cs="Times New Roman"/>
          <w:iCs/>
          <w:sz w:val="24"/>
          <w:szCs w:val="24"/>
        </w:rPr>
        <w:t xml:space="preserve">környezetben begyűjtött hatások, </w:t>
      </w:r>
      <w:proofErr w:type="gramStart"/>
      <w:r>
        <w:rPr>
          <w:rFonts w:ascii="Times New Roman" w:hAnsi="Times New Roman" w:cs="Times New Roman"/>
          <w:iCs/>
          <w:sz w:val="24"/>
          <w:szCs w:val="24"/>
        </w:rPr>
        <w:t>csakúgy</w:t>
      </w:r>
      <w:proofErr w:type="gramEnd"/>
      <w:r>
        <w:rPr>
          <w:rFonts w:ascii="Times New Roman" w:hAnsi="Times New Roman" w:cs="Times New Roman"/>
          <w:iCs/>
          <w:sz w:val="24"/>
          <w:szCs w:val="24"/>
        </w:rPr>
        <w:t xml:space="preserve"> mint bizonyos csoportok politikusok vagy a sajtó által történő sztereotip megjelenítése (például, amikor a migránsokat úgy mutatják be, mint akik „fenyegetést” jelentenek a biztonságra, a gazdasági jólétre vagy a kulturális homogenitásra</w:t>
      </w:r>
      <w:r w:rsidR="004B248E">
        <w:rPr>
          <w:rFonts w:ascii="Times New Roman" w:hAnsi="Times New Roman" w:cs="Times New Roman"/>
          <w:iCs/>
          <w:sz w:val="24"/>
          <w:szCs w:val="24"/>
        </w:rPr>
        <w:t>)</w:t>
      </w:r>
      <w:r>
        <w:rPr>
          <w:rFonts w:ascii="Times New Roman" w:hAnsi="Times New Roman" w:cs="Times New Roman"/>
          <w:iCs/>
          <w:sz w:val="24"/>
          <w:szCs w:val="24"/>
        </w:rPr>
        <w:t xml:space="preserve">. </w:t>
      </w:r>
      <w:r w:rsidR="004B248E">
        <w:rPr>
          <w:rFonts w:ascii="Times New Roman" w:hAnsi="Times New Roman" w:cs="Times New Roman"/>
          <w:iCs/>
          <w:sz w:val="24"/>
          <w:szCs w:val="24"/>
        </w:rPr>
        <w:t xml:space="preserve">Ezek </w:t>
      </w:r>
      <w:r>
        <w:rPr>
          <w:rFonts w:ascii="Times New Roman" w:hAnsi="Times New Roman" w:cs="Times New Roman"/>
          <w:iCs/>
          <w:sz w:val="24"/>
          <w:szCs w:val="24"/>
        </w:rPr>
        <w:t>olyan hatások, amely</w:t>
      </w:r>
      <w:r w:rsidR="007A6428">
        <w:rPr>
          <w:rFonts w:ascii="Times New Roman" w:hAnsi="Times New Roman" w:cs="Times New Roman"/>
          <w:iCs/>
          <w:sz w:val="24"/>
          <w:szCs w:val="24"/>
        </w:rPr>
        <w:t>e</w:t>
      </w:r>
      <w:r>
        <w:rPr>
          <w:rFonts w:ascii="Times New Roman" w:hAnsi="Times New Roman" w:cs="Times New Roman"/>
          <w:iCs/>
          <w:sz w:val="24"/>
          <w:szCs w:val="24"/>
        </w:rPr>
        <w:t>kre mindannyian fogékonyak vagyunk minden</w:t>
      </w:r>
      <w:r w:rsidR="007A6428">
        <w:rPr>
          <w:rFonts w:ascii="Times New Roman" w:hAnsi="Times New Roman" w:cs="Times New Roman"/>
          <w:iCs/>
          <w:sz w:val="24"/>
          <w:szCs w:val="24"/>
        </w:rPr>
        <w:t>n</w:t>
      </w:r>
      <w:r>
        <w:rPr>
          <w:rFonts w:ascii="Times New Roman" w:hAnsi="Times New Roman" w:cs="Times New Roman"/>
          <w:iCs/>
          <w:sz w:val="24"/>
          <w:szCs w:val="24"/>
        </w:rPr>
        <w:t>api életünk során</w:t>
      </w:r>
      <w:r w:rsidR="000D35E4" w:rsidRPr="00F1231E">
        <w:rPr>
          <w:rFonts w:ascii="Times New Roman" w:hAnsi="Times New Roman" w:cs="Times New Roman"/>
          <w:iCs/>
          <w:sz w:val="24"/>
          <w:szCs w:val="24"/>
        </w:rPr>
        <w:t>.</w:t>
      </w:r>
      <w:r w:rsidR="000D4FE0" w:rsidRPr="00F1231E">
        <w:rPr>
          <w:rStyle w:val="Lbjegyzet-hivatkozs"/>
          <w:rFonts w:ascii="Times New Roman" w:hAnsi="Times New Roman" w:cs="Times New Roman"/>
          <w:iCs/>
          <w:sz w:val="24"/>
          <w:szCs w:val="24"/>
        </w:rPr>
        <w:footnoteReference w:id="19"/>
      </w:r>
    </w:p>
    <w:p w:rsidR="007A6428" w:rsidRDefault="005334FC" w:rsidP="00012E84">
      <w:pPr>
        <w:ind w:firstLine="720"/>
        <w:jc w:val="both"/>
        <w:rPr>
          <w:rFonts w:ascii="Times New Roman" w:hAnsi="Times New Roman" w:cs="Times New Roman"/>
          <w:iCs/>
          <w:sz w:val="24"/>
          <w:szCs w:val="24"/>
        </w:rPr>
      </w:pPr>
      <w:r>
        <w:rPr>
          <w:rFonts w:ascii="Times New Roman" w:hAnsi="Times New Roman" w:cs="Times New Roman"/>
          <w:iCs/>
          <w:sz w:val="24"/>
          <w:szCs w:val="24"/>
        </w:rPr>
        <w:t>A</w:t>
      </w:r>
      <w:r w:rsidR="007A6428">
        <w:rPr>
          <w:rFonts w:ascii="Times New Roman" w:hAnsi="Times New Roman" w:cs="Times New Roman"/>
          <w:iCs/>
          <w:sz w:val="24"/>
          <w:szCs w:val="24"/>
        </w:rPr>
        <w:t xml:space="preserve">z oktatási rendszert </w:t>
      </w:r>
      <w:r>
        <w:rPr>
          <w:rFonts w:ascii="Times New Roman" w:hAnsi="Times New Roman" w:cs="Times New Roman"/>
          <w:iCs/>
          <w:sz w:val="24"/>
          <w:szCs w:val="24"/>
        </w:rPr>
        <w:t>például</w:t>
      </w:r>
      <w:r w:rsidR="004B248E">
        <w:rPr>
          <w:rFonts w:ascii="Times New Roman" w:hAnsi="Times New Roman" w:cs="Times New Roman"/>
          <w:iCs/>
          <w:sz w:val="24"/>
          <w:szCs w:val="24"/>
        </w:rPr>
        <w:t xml:space="preserve"> </w:t>
      </w:r>
      <w:r w:rsidR="007A6428">
        <w:rPr>
          <w:rFonts w:ascii="Times New Roman" w:hAnsi="Times New Roman" w:cs="Times New Roman"/>
          <w:iCs/>
          <w:sz w:val="24"/>
          <w:szCs w:val="24"/>
        </w:rPr>
        <w:t>lehet úgy tekinteni, mint azoknak a nemzeti intézményeknek az összessége, amelyek az ország ifjúságának oktatásáért felelősek. Mihelyt azonban figyelembe vesszük azon eszközök egyes aspektusait, amelyekkel ezek az intézmények a feladatukat ellátják, a kérdés már összetettebbé válik. A legtöbb – ha nem az összes – oktatási rendszer integráns része az, hogy a fiatalokat a nemzetállamuk történelmére vonatkozó kérdésekről is oktatja</w:t>
      </w:r>
      <w:r w:rsidR="004B248E">
        <w:rPr>
          <w:rFonts w:ascii="Times New Roman" w:hAnsi="Times New Roman" w:cs="Times New Roman"/>
          <w:iCs/>
          <w:sz w:val="24"/>
          <w:szCs w:val="24"/>
        </w:rPr>
        <w:t>, v</w:t>
      </w:r>
      <w:r w:rsidR="007A6428">
        <w:rPr>
          <w:rFonts w:ascii="Times New Roman" w:hAnsi="Times New Roman" w:cs="Times New Roman"/>
          <w:iCs/>
          <w:sz w:val="24"/>
          <w:szCs w:val="24"/>
        </w:rPr>
        <w:t>agyis egy olyan történelemről, amely az esetek többségében bővelkedik az ország dicsőséges múltjáról szóló hősies történetekben. Az ilyen történetek között természetesen szerepelnek a múltbeli elnyomók elleni felszabadító harcok és/vagy forradalmak. Bármilyen fontosak is ezek a tanulmányok, nem szabad elfelejtenünk, hogy</w:t>
      </w:r>
      <w:r w:rsidR="00473DC0">
        <w:rPr>
          <w:rFonts w:ascii="Times New Roman" w:hAnsi="Times New Roman" w:cs="Times New Roman"/>
          <w:iCs/>
          <w:sz w:val="24"/>
          <w:szCs w:val="24"/>
        </w:rPr>
        <w:t xml:space="preserve"> ahogyan minden háborúban szükség van „hősökre”, úgy minden hősnek szüksége van ellenfélre vagy „negatív hősre”, mert ez utóbbi nélkül az előbbi sem létezhetne. És amikor ez az ellenfél</w:t>
      </w:r>
      <w:r>
        <w:rPr>
          <w:rFonts w:ascii="Times New Roman" w:hAnsi="Times New Roman" w:cs="Times New Roman"/>
          <w:iCs/>
          <w:sz w:val="24"/>
          <w:szCs w:val="24"/>
        </w:rPr>
        <w:t>,</w:t>
      </w:r>
      <w:r w:rsidR="00473DC0">
        <w:rPr>
          <w:rFonts w:ascii="Times New Roman" w:hAnsi="Times New Roman" w:cs="Times New Roman"/>
          <w:iCs/>
          <w:sz w:val="24"/>
          <w:szCs w:val="24"/>
        </w:rPr>
        <w:t xml:space="preserve"> a „Másik”</w:t>
      </w:r>
      <w:r>
        <w:rPr>
          <w:rFonts w:ascii="Times New Roman" w:hAnsi="Times New Roman" w:cs="Times New Roman"/>
          <w:iCs/>
          <w:sz w:val="24"/>
          <w:szCs w:val="24"/>
        </w:rPr>
        <w:t xml:space="preserve"> –</w:t>
      </w:r>
      <w:r w:rsidR="009F3147">
        <w:rPr>
          <w:rFonts w:ascii="Times New Roman" w:hAnsi="Times New Roman" w:cs="Times New Roman"/>
          <w:iCs/>
          <w:sz w:val="24"/>
          <w:szCs w:val="24"/>
        </w:rPr>
        <w:t xml:space="preserve">akit általában az különböztet meg a hőstől, hogy a hőshöz képest ellentétes tulajdonságokat mutat (pl. a hős bátor – az ellenség nem annyira) </w:t>
      </w:r>
      <w:r>
        <w:rPr>
          <w:rFonts w:ascii="Times New Roman" w:hAnsi="Times New Roman" w:cs="Times New Roman"/>
          <w:iCs/>
          <w:sz w:val="24"/>
          <w:szCs w:val="24"/>
        </w:rPr>
        <w:t xml:space="preserve">– </w:t>
      </w:r>
      <w:r w:rsidR="009F3147">
        <w:rPr>
          <w:rFonts w:ascii="Times New Roman" w:hAnsi="Times New Roman" w:cs="Times New Roman"/>
          <w:iCs/>
          <w:sz w:val="24"/>
          <w:szCs w:val="24"/>
        </w:rPr>
        <w:t xml:space="preserve">egy másik csoport (például egy etnikai kisebbség) tagjaként jelenik meg – ahogyan az például a nemzetközi államrendszer hagyományos negatív hősei esetében szokásos – akkor a szélsőséges nacionalizmus formáját öltő előítélet lehetséges kialakulásának előfeltétele máris adott.  </w:t>
      </w:r>
    </w:p>
    <w:p w:rsidR="00091F15" w:rsidRPr="00F1231E" w:rsidRDefault="009F3147" w:rsidP="00012E84">
      <w:pPr>
        <w:ind w:firstLine="720"/>
        <w:jc w:val="both"/>
        <w:rPr>
          <w:rFonts w:ascii="Times New Roman" w:hAnsi="Times New Roman" w:cs="Times New Roman"/>
          <w:iCs/>
          <w:sz w:val="24"/>
          <w:szCs w:val="24"/>
        </w:rPr>
      </w:pPr>
      <w:r>
        <w:rPr>
          <w:rFonts w:ascii="Times New Roman" w:hAnsi="Times New Roman" w:cs="Times New Roman"/>
          <w:iCs/>
          <w:sz w:val="24"/>
          <w:szCs w:val="24"/>
        </w:rPr>
        <w:t>Ez nem az</w:t>
      </w:r>
      <w:r w:rsidR="005334FC">
        <w:rPr>
          <w:rFonts w:ascii="Times New Roman" w:hAnsi="Times New Roman" w:cs="Times New Roman"/>
          <w:iCs/>
          <w:sz w:val="24"/>
          <w:szCs w:val="24"/>
        </w:rPr>
        <w:t>t</w:t>
      </w:r>
      <w:r>
        <w:rPr>
          <w:rFonts w:ascii="Times New Roman" w:hAnsi="Times New Roman" w:cs="Times New Roman"/>
          <w:iCs/>
          <w:sz w:val="24"/>
          <w:szCs w:val="24"/>
        </w:rPr>
        <w:t xml:space="preserve"> jelenti, hogy nem k</w:t>
      </w:r>
      <w:r w:rsidR="004B248E">
        <w:rPr>
          <w:rFonts w:ascii="Times New Roman" w:hAnsi="Times New Roman" w:cs="Times New Roman"/>
          <w:iCs/>
          <w:sz w:val="24"/>
          <w:szCs w:val="24"/>
        </w:rPr>
        <w:t>ellen</w:t>
      </w:r>
      <w:r>
        <w:rPr>
          <w:rFonts w:ascii="Times New Roman" w:hAnsi="Times New Roman" w:cs="Times New Roman"/>
          <w:iCs/>
          <w:sz w:val="24"/>
          <w:szCs w:val="24"/>
        </w:rPr>
        <w:t xml:space="preserve">e történelmet tanítani, </w:t>
      </w:r>
      <w:proofErr w:type="gramStart"/>
      <w:r>
        <w:rPr>
          <w:rFonts w:ascii="Times New Roman" w:hAnsi="Times New Roman" w:cs="Times New Roman"/>
          <w:iCs/>
          <w:sz w:val="24"/>
          <w:szCs w:val="24"/>
        </w:rPr>
        <w:t>vagy</w:t>
      </w:r>
      <w:proofErr w:type="gramEnd"/>
      <w:r>
        <w:rPr>
          <w:rFonts w:ascii="Times New Roman" w:hAnsi="Times New Roman" w:cs="Times New Roman"/>
          <w:iCs/>
          <w:sz w:val="24"/>
          <w:szCs w:val="24"/>
        </w:rPr>
        <w:t xml:space="preserve"> hogy a történelemtanítás egyenlő az előítéletek tényszerű terjesztésével. Inkább arra </w:t>
      </w:r>
      <w:r w:rsidR="005334FC">
        <w:rPr>
          <w:rFonts w:ascii="Times New Roman" w:hAnsi="Times New Roman" w:cs="Times New Roman"/>
          <w:iCs/>
          <w:sz w:val="24"/>
          <w:szCs w:val="24"/>
        </w:rPr>
        <w:t>kívántunk</w:t>
      </w:r>
      <w:r>
        <w:rPr>
          <w:rFonts w:ascii="Times New Roman" w:hAnsi="Times New Roman" w:cs="Times New Roman"/>
          <w:iCs/>
          <w:sz w:val="24"/>
          <w:szCs w:val="24"/>
        </w:rPr>
        <w:t xml:space="preserve"> rámutatni, hogy amikor az elfogultságról gondolkodunk, érdemes tudatában lennünk, hogy bennünk magunkban is megjelenhet</w:t>
      </w:r>
      <w:r w:rsidR="005334FC">
        <w:rPr>
          <w:rFonts w:ascii="Times New Roman" w:hAnsi="Times New Roman" w:cs="Times New Roman"/>
          <w:iCs/>
          <w:sz w:val="24"/>
          <w:szCs w:val="24"/>
        </w:rPr>
        <w:t>,</w:t>
      </w:r>
      <w:r w:rsidR="00966EE8">
        <w:rPr>
          <w:rFonts w:ascii="Times New Roman" w:hAnsi="Times New Roman" w:cs="Times New Roman"/>
          <w:iCs/>
          <w:sz w:val="24"/>
          <w:szCs w:val="24"/>
        </w:rPr>
        <w:t xml:space="preserve"> vagy minket is befolyásolhat az </w:t>
      </w:r>
      <w:r w:rsidR="00966EE8">
        <w:rPr>
          <w:rFonts w:ascii="Times New Roman" w:hAnsi="Times New Roman" w:cs="Times New Roman"/>
          <w:iCs/>
          <w:sz w:val="24"/>
          <w:szCs w:val="24"/>
        </w:rPr>
        <w:lastRenderedPageBreak/>
        <w:t>elfogultság</w:t>
      </w:r>
      <w:r w:rsidR="004B248E">
        <w:rPr>
          <w:rFonts w:ascii="Times New Roman" w:hAnsi="Times New Roman" w:cs="Times New Roman"/>
          <w:iCs/>
          <w:sz w:val="24"/>
          <w:szCs w:val="24"/>
        </w:rPr>
        <w:t xml:space="preserve"> előítélettel összefonódó formája</w:t>
      </w:r>
      <w:r w:rsidR="00966EE8">
        <w:rPr>
          <w:rFonts w:ascii="Times New Roman" w:hAnsi="Times New Roman" w:cs="Times New Roman"/>
          <w:iCs/>
          <w:sz w:val="24"/>
          <w:szCs w:val="24"/>
        </w:rPr>
        <w:t xml:space="preserve"> olyan környezeti hatások miatt, amelyekről gyakran megfeledkezünk</w:t>
      </w:r>
      <w:r w:rsidR="005334FC">
        <w:rPr>
          <w:rFonts w:ascii="Times New Roman" w:hAnsi="Times New Roman" w:cs="Times New Roman"/>
          <w:iCs/>
          <w:sz w:val="24"/>
          <w:szCs w:val="24"/>
        </w:rPr>
        <w:t>,</w:t>
      </w:r>
      <w:r w:rsidR="00966EE8">
        <w:rPr>
          <w:rFonts w:ascii="Times New Roman" w:hAnsi="Times New Roman" w:cs="Times New Roman"/>
          <w:iCs/>
          <w:sz w:val="24"/>
          <w:szCs w:val="24"/>
        </w:rPr>
        <w:t xml:space="preserve"> vagy nem vesszük észre, hogy befolyásolják az ítéletalkotásunkat. Más szóval, mindannyian hajlamosak vagyunk az előítélet bizonyos formáira, mert létük feltételei minden társadalom szerves részét képezik.</w:t>
      </w:r>
    </w:p>
    <w:p w:rsidR="002C7CA8" w:rsidRDefault="00A34611" w:rsidP="002C7CA8">
      <w:pPr>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Végül, ahogyan korábban említettük, a védett tulajdonságok a csoportidentitás jelölőiként is funkcionálnak, és az, hogy az </w:t>
      </w:r>
      <w:proofErr w:type="gramStart"/>
      <w:r>
        <w:rPr>
          <w:rFonts w:ascii="Times New Roman" w:hAnsi="Times New Roman" w:cs="Times New Roman"/>
          <w:iCs/>
          <w:sz w:val="24"/>
          <w:szCs w:val="24"/>
        </w:rPr>
        <w:t>áldozat(</w:t>
      </w:r>
      <w:proofErr w:type="gramEnd"/>
      <w:r>
        <w:rPr>
          <w:rFonts w:ascii="Times New Roman" w:hAnsi="Times New Roman" w:cs="Times New Roman"/>
          <w:iCs/>
          <w:sz w:val="24"/>
          <w:szCs w:val="24"/>
        </w:rPr>
        <w:t xml:space="preserve">ok) valóban a csoport tagja(i)-e vagy sem, nem számít. Végső soron a gyűlölet-bűncselekmények sosem csupán arról szólnak, hogy az erőszak közvetlen elszenvedőjének sérelmet okozzanak. Az elfogultság tárgyát képező egyének csoportjával egyenes arányban a gyűlölet-bűncselekmények </w:t>
      </w:r>
      <w:r w:rsidR="001222D6">
        <w:rPr>
          <w:rFonts w:ascii="Times New Roman" w:hAnsi="Times New Roman" w:cs="Times New Roman"/>
          <w:iCs/>
          <w:sz w:val="24"/>
          <w:szCs w:val="24"/>
        </w:rPr>
        <w:t xml:space="preserve">elsődleges célpontja a jól körülhatárolható csoportok egésze. Az érintett személy vagy személyek általában felcserélhető részei a csoportnak, amely az elkövető szemében homogén célpontot alkot. Pontosan ez a csoporthoz való (valós vagy vélt) tartozás az, amitől valaki gyűlölet-bűncselekmény célpontja lesz, és pontosan ez az oka annak is, hogy </w:t>
      </w:r>
      <w:proofErr w:type="gramStart"/>
      <w:r w:rsidR="001222D6">
        <w:rPr>
          <w:rFonts w:ascii="Times New Roman" w:hAnsi="Times New Roman" w:cs="Times New Roman"/>
          <w:iCs/>
          <w:sz w:val="24"/>
          <w:szCs w:val="24"/>
        </w:rPr>
        <w:t>a</w:t>
      </w:r>
      <w:proofErr w:type="gramEnd"/>
      <w:r w:rsidR="001222D6">
        <w:rPr>
          <w:rFonts w:ascii="Times New Roman" w:hAnsi="Times New Roman" w:cs="Times New Roman"/>
          <w:iCs/>
          <w:sz w:val="24"/>
          <w:szCs w:val="24"/>
        </w:rPr>
        <w:t xml:space="preserve"> áldozat ellen elkövetett közvetlen vagy közvetett erőszak csak az egyik aspektusa ezeknek a bűncselekményeknek. A másik aspektus, amelyről szintén nem szabad megfeledkezni</w:t>
      </w:r>
      <w:r w:rsidR="005334FC">
        <w:rPr>
          <w:rFonts w:ascii="Times New Roman" w:hAnsi="Times New Roman" w:cs="Times New Roman"/>
          <w:iCs/>
          <w:sz w:val="24"/>
          <w:szCs w:val="24"/>
        </w:rPr>
        <w:t xml:space="preserve"> – </w:t>
      </w:r>
      <w:r w:rsidR="001222D6">
        <w:rPr>
          <w:rFonts w:ascii="Times New Roman" w:hAnsi="Times New Roman" w:cs="Times New Roman"/>
          <w:iCs/>
          <w:sz w:val="24"/>
          <w:szCs w:val="24"/>
        </w:rPr>
        <w:t>és amely hosszú távon még károsabb</w:t>
      </w:r>
      <w:r w:rsidR="005334FC">
        <w:rPr>
          <w:rFonts w:ascii="Times New Roman" w:hAnsi="Times New Roman" w:cs="Times New Roman"/>
          <w:iCs/>
          <w:sz w:val="24"/>
          <w:szCs w:val="24"/>
        </w:rPr>
        <w:t xml:space="preserve"> – a</w:t>
      </w:r>
      <w:r w:rsidR="001222D6">
        <w:rPr>
          <w:rFonts w:ascii="Times New Roman" w:hAnsi="Times New Roman" w:cs="Times New Roman"/>
          <w:iCs/>
          <w:sz w:val="24"/>
          <w:szCs w:val="24"/>
        </w:rPr>
        <w:t xml:space="preserve">z az elkövető szándéka, hogy közvetve a csoportot bántalmazza azzal, hogy üzenetet küld. Üzenetet </w:t>
      </w:r>
      <w:r w:rsidR="002C7CA8">
        <w:rPr>
          <w:rFonts w:ascii="Times New Roman" w:hAnsi="Times New Roman" w:cs="Times New Roman"/>
          <w:iCs/>
          <w:sz w:val="24"/>
          <w:szCs w:val="24"/>
        </w:rPr>
        <w:t xml:space="preserve">arról, hogy </w:t>
      </w:r>
      <w:r w:rsidR="001222D6">
        <w:rPr>
          <w:rFonts w:ascii="Times New Roman" w:hAnsi="Times New Roman" w:cs="Times New Roman"/>
          <w:iCs/>
          <w:sz w:val="24"/>
          <w:szCs w:val="24"/>
        </w:rPr>
        <w:t>az áldozat</w:t>
      </w:r>
      <w:r w:rsidR="002C7CA8">
        <w:rPr>
          <w:rFonts w:ascii="Times New Roman" w:hAnsi="Times New Roman" w:cs="Times New Roman"/>
          <w:iCs/>
          <w:sz w:val="24"/>
          <w:szCs w:val="24"/>
        </w:rPr>
        <w:t xml:space="preserve">nak, és következésképpen </w:t>
      </w:r>
      <w:proofErr w:type="gramStart"/>
      <w:r w:rsidR="002C7CA8">
        <w:rPr>
          <w:rFonts w:ascii="Times New Roman" w:hAnsi="Times New Roman" w:cs="Times New Roman"/>
          <w:iCs/>
          <w:sz w:val="24"/>
          <w:szCs w:val="24"/>
        </w:rPr>
        <w:t>annak</w:t>
      </w:r>
      <w:proofErr w:type="gramEnd"/>
      <w:r w:rsidR="002C7CA8">
        <w:rPr>
          <w:rFonts w:ascii="Times New Roman" w:hAnsi="Times New Roman" w:cs="Times New Roman"/>
          <w:iCs/>
          <w:sz w:val="24"/>
          <w:szCs w:val="24"/>
        </w:rPr>
        <w:t xml:space="preserve"> csoportnak, amelynek az áldozat szerinte tagja, hol a megérdemelt helye a társadalomban; </w:t>
      </w:r>
      <w:r w:rsidR="005334FC">
        <w:rPr>
          <w:rFonts w:ascii="Times New Roman" w:hAnsi="Times New Roman" w:cs="Times New Roman"/>
          <w:iCs/>
          <w:sz w:val="24"/>
          <w:szCs w:val="24"/>
        </w:rPr>
        <w:t xml:space="preserve">egészen pontosan </w:t>
      </w:r>
      <w:r w:rsidR="002C7CA8">
        <w:rPr>
          <w:rFonts w:ascii="Times New Roman" w:hAnsi="Times New Roman" w:cs="Times New Roman"/>
          <w:iCs/>
          <w:sz w:val="24"/>
          <w:szCs w:val="24"/>
        </w:rPr>
        <w:t>azt az üzenetet, hogy „nem látják [ott] szívesen őket”.</w:t>
      </w:r>
      <w:r w:rsidR="00A25D6B" w:rsidRPr="00F1231E">
        <w:rPr>
          <w:rStyle w:val="Lbjegyzet-hivatkozs"/>
          <w:rFonts w:ascii="Times New Roman" w:hAnsi="Times New Roman" w:cs="Times New Roman"/>
          <w:iCs/>
          <w:sz w:val="24"/>
          <w:szCs w:val="24"/>
        </w:rPr>
        <w:footnoteReference w:id="20"/>
      </w:r>
      <w:r w:rsidR="004B248E">
        <w:rPr>
          <w:rFonts w:ascii="Times New Roman" w:hAnsi="Times New Roman" w:cs="Times New Roman"/>
          <w:iCs/>
          <w:sz w:val="24"/>
          <w:szCs w:val="24"/>
        </w:rPr>
        <w:t xml:space="preserve"> </w:t>
      </w:r>
      <w:r w:rsidR="002C7CA8">
        <w:rPr>
          <w:rFonts w:ascii="Times New Roman" w:hAnsi="Times New Roman" w:cs="Times New Roman"/>
          <w:iCs/>
          <w:sz w:val="24"/>
          <w:szCs w:val="24"/>
        </w:rPr>
        <w:t>Olyan üzenet</w:t>
      </w:r>
      <w:r w:rsidR="005334FC">
        <w:rPr>
          <w:rFonts w:ascii="Times New Roman" w:hAnsi="Times New Roman" w:cs="Times New Roman"/>
          <w:iCs/>
          <w:sz w:val="24"/>
          <w:szCs w:val="24"/>
        </w:rPr>
        <w:t xml:space="preserve"> ez</w:t>
      </w:r>
      <w:r w:rsidR="002C7CA8">
        <w:rPr>
          <w:rFonts w:ascii="Times New Roman" w:hAnsi="Times New Roman" w:cs="Times New Roman"/>
          <w:iCs/>
          <w:sz w:val="24"/>
          <w:szCs w:val="24"/>
        </w:rPr>
        <w:t>, amely időnként kiterjed nemcsak a bántalmazott csoportra, hanem az ahhoz közel állókra is. Így nem ritka az, hogy a gyűlölet-bűncselekmények áldozatai nem mindig a célcsoport tagjai (noha ez nem változtat azon a köteleze</w:t>
      </w:r>
      <w:r w:rsidR="007E734E">
        <w:rPr>
          <w:rFonts w:ascii="Times New Roman" w:hAnsi="Times New Roman" w:cs="Times New Roman"/>
          <w:iCs/>
          <w:sz w:val="24"/>
          <w:szCs w:val="24"/>
        </w:rPr>
        <w:t>t</w:t>
      </w:r>
      <w:r w:rsidR="002C7CA8">
        <w:rPr>
          <w:rFonts w:ascii="Times New Roman" w:hAnsi="Times New Roman" w:cs="Times New Roman"/>
          <w:iCs/>
          <w:sz w:val="24"/>
          <w:szCs w:val="24"/>
        </w:rPr>
        <w:t xml:space="preserve">tségen, hogy a gyűlölet-bűncselekményt természetének megfelelően </w:t>
      </w:r>
      <w:r w:rsidR="007E734E">
        <w:rPr>
          <w:rFonts w:ascii="Times New Roman" w:hAnsi="Times New Roman" w:cs="Times New Roman"/>
          <w:iCs/>
          <w:sz w:val="24"/>
          <w:szCs w:val="24"/>
        </w:rPr>
        <w:t>kell kivizsgálni). Például:</w:t>
      </w:r>
    </w:p>
    <w:p w:rsidR="00113F03" w:rsidRPr="00F1231E" w:rsidRDefault="00113F03" w:rsidP="00E93A01">
      <w:pPr>
        <w:ind w:firstLine="720"/>
        <w:jc w:val="both"/>
        <w:rPr>
          <w:rFonts w:ascii="Times New Roman" w:hAnsi="Times New Roman" w:cs="Times New Roman"/>
          <w:iCs/>
          <w:sz w:val="24"/>
          <w:szCs w:val="24"/>
        </w:rPr>
      </w:pPr>
    </w:p>
    <w:tbl>
      <w:tblPr>
        <w:tblStyle w:val="MediumGrid1-Accent51"/>
        <w:tblW w:w="0" w:type="auto"/>
        <w:tblLook w:val="04A0" w:firstRow="1" w:lastRow="0" w:firstColumn="1" w:lastColumn="0" w:noHBand="0" w:noVBand="1"/>
      </w:tblPr>
      <w:tblGrid>
        <w:gridCol w:w="8440"/>
      </w:tblGrid>
      <w:tr w:rsidR="00113F03" w:rsidRPr="00F1231E" w:rsidTr="00DD5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0" w:type="dxa"/>
          </w:tcPr>
          <w:p w:rsidR="00113F03" w:rsidRPr="00F1231E" w:rsidRDefault="007E734E" w:rsidP="00DD5F20">
            <w:pPr>
              <w:contextualSpacing/>
              <w:jc w:val="both"/>
              <w:rPr>
                <w:rFonts w:ascii="Verdana" w:eastAsia="MS Mincho" w:hAnsi="Verdana" w:cs="Times New Roman"/>
                <w:b w:val="0"/>
                <w:bCs w:val="0"/>
                <w:iCs/>
                <w:color w:val="943634"/>
                <w:sz w:val="19"/>
                <w:szCs w:val="19"/>
                <w:lang w:val="hu-HU"/>
              </w:rPr>
            </w:pPr>
            <w:r>
              <w:rPr>
                <w:rFonts w:ascii="Verdana" w:eastAsia="MS Mincho" w:hAnsi="Verdana" w:cs="Times New Roman"/>
                <w:color w:val="943634"/>
                <w:sz w:val="19"/>
                <w:szCs w:val="19"/>
                <w:lang w:val="hu-HU"/>
              </w:rPr>
              <w:t>Emberi Jogok Európai Bírósága</w:t>
            </w:r>
            <w:r w:rsidR="00113F03" w:rsidRPr="00F1231E">
              <w:rPr>
                <w:rFonts w:ascii="Verdana" w:eastAsia="MS Mincho" w:hAnsi="Verdana" w:cs="Times New Roman"/>
                <w:color w:val="943634"/>
                <w:sz w:val="19"/>
                <w:szCs w:val="19"/>
                <w:lang w:val="hu-HU"/>
              </w:rPr>
              <w:t xml:space="preserve">, </w:t>
            </w:r>
            <w:r w:rsidR="00113F03" w:rsidRPr="00F1231E">
              <w:rPr>
                <w:rFonts w:ascii="Verdana" w:eastAsia="MS Mincho" w:hAnsi="Verdana" w:cs="Times New Roman"/>
                <w:iCs/>
                <w:color w:val="943634"/>
                <w:sz w:val="19"/>
                <w:szCs w:val="19"/>
                <w:lang w:val="hu-HU"/>
              </w:rPr>
              <w:t xml:space="preserve">ŠKORJANEC </w:t>
            </w:r>
            <w:r>
              <w:rPr>
                <w:rFonts w:ascii="Verdana" w:eastAsia="MS Mincho" w:hAnsi="Verdana" w:cs="Times New Roman"/>
                <w:iCs/>
                <w:color w:val="943634"/>
                <w:sz w:val="19"/>
                <w:szCs w:val="19"/>
                <w:lang w:val="hu-HU"/>
              </w:rPr>
              <w:t>kontra</w:t>
            </w:r>
            <w:r w:rsidR="00D72123">
              <w:rPr>
                <w:rFonts w:ascii="Verdana" w:eastAsia="MS Mincho" w:hAnsi="Verdana" w:cs="Times New Roman"/>
                <w:iCs/>
                <w:color w:val="943634"/>
                <w:sz w:val="19"/>
                <w:szCs w:val="19"/>
                <w:lang w:val="hu-HU"/>
              </w:rPr>
              <w:t xml:space="preserve"> </w:t>
            </w:r>
            <w:r>
              <w:rPr>
                <w:rFonts w:ascii="Verdana" w:eastAsia="MS Mincho" w:hAnsi="Verdana" w:cs="Times New Roman"/>
                <w:iCs/>
                <w:color w:val="943634"/>
                <w:sz w:val="19"/>
                <w:szCs w:val="19"/>
                <w:lang w:val="hu-HU"/>
              </w:rPr>
              <w:t>HORVÁTORSZÁG</w:t>
            </w:r>
            <w:r w:rsidR="00113F03" w:rsidRPr="00F1231E">
              <w:rPr>
                <w:rFonts w:ascii="Verdana" w:eastAsia="MS Mincho" w:hAnsi="Verdana" w:cs="Times New Roman"/>
                <w:color w:val="943634"/>
                <w:sz w:val="19"/>
                <w:szCs w:val="19"/>
                <w:lang w:val="hu-HU"/>
              </w:rPr>
              <w:t xml:space="preserve">, </w:t>
            </w:r>
            <w:r w:rsidR="00113F03" w:rsidRPr="00F1231E">
              <w:rPr>
                <w:rFonts w:ascii="Verdana" w:eastAsia="MS Mincho" w:hAnsi="Verdana" w:cs="Times New Roman"/>
                <w:i/>
                <w:iCs/>
                <w:color w:val="943634"/>
                <w:sz w:val="19"/>
                <w:szCs w:val="19"/>
                <w:lang w:val="hu-HU"/>
              </w:rPr>
              <w:t>25536/14</w:t>
            </w:r>
            <w:r>
              <w:rPr>
                <w:rFonts w:ascii="Verdana" w:eastAsia="MS Mincho" w:hAnsi="Verdana" w:cs="Times New Roman"/>
                <w:i/>
                <w:iCs/>
                <w:color w:val="943634"/>
                <w:sz w:val="19"/>
                <w:szCs w:val="19"/>
                <w:lang w:val="hu-HU"/>
              </w:rPr>
              <w:t xml:space="preserve"> sz. kérelem</w:t>
            </w:r>
            <w:r w:rsidR="00113F03" w:rsidRPr="00F1231E">
              <w:rPr>
                <w:rFonts w:ascii="Verdana" w:eastAsia="MS Mincho" w:hAnsi="Verdana" w:cs="Times New Roman"/>
                <w:iCs/>
                <w:color w:val="943634"/>
                <w:sz w:val="19"/>
                <w:szCs w:val="19"/>
                <w:lang w:val="hu-HU"/>
              </w:rPr>
              <w:t>, 2017</w:t>
            </w:r>
            <w:r>
              <w:rPr>
                <w:rFonts w:ascii="Verdana" w:eastAsia="MS Mincho" w:hAnsi="Verdana" w:cs="Times New Roman"/>
                <w:iCs/>
                <w:color w:val="943634"/>
                <w:sz w:val="19"/>
                <w:szCs w:val="19"/>
                <w:lang w:val="hu-HU"/>
              </w:rPr>
              <w:t>. március 28-án kelt ítélet</w:t>
            </w:r>
            <w:r w:rsidR="00113F03" w:rsidRPr="00F1231E">
              <w:rPr>
                <w:rFonts w:ascii="Verdana" w:eastAsia="MS Mincho" w:hAnsi="Verdana" w:cs="Times New Roman"/>
                <w:iCs/>
                <w:color w:val="943634"/>
                <w:sz w:val="19"/>
                <w:szCs w:val="19"/>
                <w:lang w:val="hu-HU"/>
              </w:rPr>
              <w:t xml:space="preserve"> (</w:t>
            </w:r>
            <w:hyperlink r:id="rId12" w:history="1">
              <w:r w:rsidR="00113F03" w:rsidRPr="00F1231E">
                <w:rPr>
                  <w:rStyle w:val="Hiperhivatkozs"/>
                  <w:rFonts w:ascii="Verdana" w:eastAsia="MS Mincho" w:hAnsi="Verdana" w:cs="Times New Roman"/>
                  <w:iCs/>
                  <w:sz w:val="19"/>
                  <w:szCs w:val="19"/>
                  <w:lang w:val="hu-HU"/>
                </w:rPr>
                <w:t>link</w:t>
              </w:r>
            </w:hyperlink>
            <w:r w:rsidR="00113F03" w:rsidRPr="00F1231E">
              <w:rPr>
                <w:rFonts w:ascii="Verdana" w:eastAsia="MS Mincho" w:hAnsi="Verdana" w:cs="Times New Roman"/>
                <w:iCs/>
                <w:color w:val="943634"/>
                <w:sz w:val="19"/>
                <w:szCs w:val="19"/>
                <w:lang w:val="hu-HU"/>
              </w:rPr>
              <w:t>)</w:t>
            </w:r>
          </w:p>
          <w:p w:rsidR="00113F03" w:rsidRPr="00F1231E" w:rsidRDefault="00113F03" w:rsidP="00DD5F20">
            <w:pPr>
              <w:contextualSpacing/>
              <w:jc w:val="both"/>
              <w:rPr>
                <w:rFonts w:ascii="Verdana" w:eastAsia="MS Mincho" w:hAnsi="Verdana" w:cs="Times New Roman"/>
                <w:sz w:val="18"/>
                <w:szCs w:val="18"/>
                <w:u w:val="single"/>
                <w:lang w:val="hu-HU"/>
              </w:rPr>
            </w:pPr>
          </w:p>
          <w:p w:rsidR="00113F03" w:rsidRPr="00F1231E" w:rsidRDefault="007E734E" w:rsidP="00DD5F20">
            <w:pPr>
              <w:contextualSpacing/>
              <w:jc w:val="both"/>
              <w:rPr>
                <w:rFonts w:ascii="Verdana" w:eastAsia="MS Mincho" w:hAnsi="Verdana" w:cs="Times New Roman"/>
                <w:b w:val="0"/>
                <w:sz w:val="18"/>
                <w:szCs w:val="18"/>
                <w:lang w:val="hu-HU"/>
              </w:rPr>
            </w:pPr>
            <w:r>
              <w:rPr>
                <w:rFonts w:ascii="Verdana" w:eastAsia="MS Mincho" w:hAnsi="Verdana" w:cs="Times New Roman"/>
                <w:sz w:val="18"/>
                <w:szCs w:val="18"/>
                <w:u w:val="single"/>
                <w:lang w:val="hu-HU"/>
              </w:rPr>
              <w:t>Tényállás</w:t>
            </w:r>
            <w:r w:rsidR="00113F03" w:rsidRPr="00F1231E">
              <w:rPr>
                <w:rFonts w:ascii="Verdana" w:eastAsia="MS Mincho" w:hAnsi="Verdana" w:cs="Times New Roman"/>
                <w:sz w:val="18"/>
                <w:szCs w:val="18"/>
                <w:lang w:val="hu-HU"/>
              </w:rPr>
              <w:t>:</w:t>
            </w:r>
            <w:r w:rsidR="00D72123">
              <w:rPr>
                <w:rFonts w:ascii="Verdana" w:eastAsia="MS Mincho" w:hAnsi="Verdana" w:cs="Times New Roman"/>
                <w:sz w:val="18"/>
                <w:szCs w:val="18"/>
                <w:lang w:val="hu-HU"/>
              </w:rPr>
              <w:t xml:space="preserve"> </w:t>
            </w:r>
            <w:r w:rsidRPr="007E734E">
              <w:rPr>
                <w:rFonts w:ascii="Verdana" w:eastAsia="MS Mincho" w:hAnsi="Verdana" w:cs="Times New Roman"/>
                <w:b w:val="0"/>
                <w:sz w:val="18"/>
                <w:szCs w:val="18"/>
                <w:lang w:val="hu-HU"/>
              </w:rPr>
              <w:t xml:space="preserve">A kérelmező azt állította, hogy </w:t>
            </w:r>
            <w:r>
              <w:rPr>
                <w:rFonts w:ascii="Verdana" w:eastAsia="MS Mincho" w:hAnsi="Verdana" w:cs="Times New Roman"/>
                <w:b w:val="0"/>
                <w:sz w:val="18"/>
                <w:szCs w:val="18"/>
                <w:lang w:val="hu-HU"/>
              </w:rPr>
              <w:t>az állam elmulasztott ténylegesen eleget tenni feltétel nélküli kötelezettségének az őt ért faji alapú erőszakkal kapcsolatban. A horvát állampolgárságú kérelmezőt és roma származású partnerét faji alapon (romaellenes gyűlölet) inzultálták</w:t>
            </w:r>
            <w:r w:rsidR="00C14FD0">
              <w:rPr>
                <w:rFonts w:ascii="Verdana" w:eastAsia="MS Mincho" w:hAnsi="Verdana" w:cs="Times New Roman"/>
                <w:b w:val="0"/>
                <w:sz w:val="18"/>
                <w:szCs w:val="18"/>
                <w:lang w:val="hu-HU"/>
              </w:rPr>
              <w:t>,</w:t>
            </w:r>
            <w:r>
              <w:rPr>
                <w:rFonts w:ascii="Verdana" w:eastAsia="MS Mincho" w:hAnsi="Verdana" w:cs="Times New Roman"/>
                <w:b w:val="0"/>
                <w:sz w:val="18"/>
                <w:szCs w:val="18"/>
                <w:lang w:val="hu-HU"/>
              </w:rPr>
              <w:t xml:space="preserve"> és fizikailag is bántalmazták. Az elkövetőket elítélték a kérelmező partnerével szemben elkövetett faji alapú fenyegetés és testi sértés miatt</w:t>
            </w:r>
            <w:r w:rsidR="00C16412">
              <w:rPr>
                <w:rFonts w:ascii="Verdana" w:eastAsia="MS Mincho" w:hAnsi="Verdana" w:cs="Times New Roman"/>
                <w:b w:val="0"/>
                <w:sz w:val="18"/>
                <w:szCs w:val="18"/>
                <w:lang w:val="hu-HU"/>
              </w:rPr>
              <w:t>, de nem ítélték el ugyanezért a kérelmezővel szemben, mert ő nem roma származású.</w:t>
            </w:r>
          </w:p>
          <w:p w:rsidR="00113F03" w:rsidRPr="00F1231E" w:rsidRDefault="00113F03" w:rsidP="00DD5F20">
            <w:pPr>
              <w:contextualSpacing/>
              <w:jc w:val="both"/>
              <w:rPr>
                <w:rFonts w:ascii="Verdana" w:eastAsia="MS Mincho" w:hAnsi="Verdana" w:cs="Times New Roman"/>
                <w:b w:val="0"/>
                <w:sz w:val="18"/>
                <w:szCs w:val="18"/>
                <w:u w:val="single"/>
                <w:lang w:val="hu-HU"/>
              </w:rPr>
            </w:pPr>
          </w:p>
          <w:p w:rsidR="00C16412" w:rsidRDefault="00C16412" w:rsidP="00DD5F20">
            <w:pPr>
              <w:contextualSpacing/>
              <w:jc w:val="both"/>
              <w:rPr>
                <w:rFonts w:ascii="Verdana" w:eastAsia="MS Mincho" w:hAnsi="Verdana" w:cs="Times New Roman"/>
                <w:bCs w:val="0"/>
                <w:sz w:val="18"/>
                <w:szCs w:val="18"/>
                <w:lang w:val="hu-HU"/>
              </w:rPr>
            </w:pPr>
            <w:r>
              <w:rPr>
                <w:rFonts w:ascii="Verdana" w:eastAsia="MS Mincho" w:hAnsi="Verdana" w:cs="Times New Roman"/>
                <w:sz w:val="18"/>
                <w:szCs w:val="18"/>
                <w:u w:val="single"/>
                <w:lang w:val="hu-HU"/>
              </w:rPr>
              <w:t>Elemzés</w:t>
            </w:r>
            <w:r w:rsidR="00113F03" w:rsidRPr="00F1231E">
              <w:rPr>
                <w:rFonts w:ascii="Verdana" w:eastAsia="MS Mincho" w:hAnsi="Verdana" w:cs="Times New Roman"/>
                <w:sz w:val="18"/>
                <w:szCs w:val="18"/>
                <w:lang w:val="hu-HU"/>
              </w:rPr>
              <w:t xml:space="preserve">: </w:t>
            </w:r>
            <w:r>
              <w:rPr>
                <w:rFonts w:ascii="Verdana" w:eastAsia="MS Mincho" w:hAnsi="Verdana" w:cs="Times New Roman"/>
                <w:b w:val="0"/>
                <w:sz w:val="18"/>
                <w:szCs w:val="18"/>
                <w:lang w:val="hu-HU"/>
              </w:rPr>
              <w:t>A Bíróság úgy értékelte, hogy az eljáró hatóságok rosszul mérték fel az ügy körülményeit. Azzal, hogy hangsúlyozták a kérelmező nem roma származását, nem vették figyelembe, hogy az elkövetők őt magát is roma származásúnak tekintették-e, és figyelmen kívül hagyták a támadás rasszista indítéka és a kérelmező partneréhez fűződő viszonya közti összefüggést. Ennek az eredménye az volt, hogy a horvát hatóságok az eljárás során nem megfelelően reagáltak a kérelmező állításaira, és nem tettek meg minden tőlük elvárható intézkedést a rasszista indíték</w:t>
            </w:r>
            <w:r w:rsidR="00807DAF">
              <w:rPr>
                <w:rFonts w:ascii="Verdana" w:eastAsia="MS Mincho" w:hAnsi="Verdana" w:cs="Times New Roman"/>
                <w:b w:val="0"/>
                <w:sz w:val="18"/>
                <w:szCs w:val="18"/>
                <w:lang w:val="hu-HU"/>
              </w:rPr>
              <w:t>o</w:t>
            </w:r>
            <w:r>
              <w:rPr>
                <w:rFonts w:ascii="Verdana" w:eastAsia="MS Mincho" w:hAnsi="Verdana" w:cs="Times New Roman"/>
                <w:b w:val="0"/>
                <w:sz w:val="18"/>
                <w:szCs w:val="18"/>
                <w:lang w:val="hu-HU"/>
              </w:rPr>
              <w:t xml:space="preserve">k </w:t>
            </w:r>
            <w:r w:rsidR="00807DAF">
              <w:rPr>
                <w:rFonts w:ascii="Verdana" w:eastAsia="MS Mincho" w:hAnsi="Verdana" w:cs="Times New Roman"/>
                <w:b w:val="0"/>
                <w:sz w:val="18"/>
                <w:szCs w:val="18"/>
                <w:lang w:val="hu-HU"/>
              </w:rPr>
              <w:t xml:space="preserve">ügyben játszott szerepének feltárása érdekében. A Bíróság úgy döntött, hogy azzal, hogy a kérelmező panaszát további kivizsgálás nélkül elutasították, a hatóságok elmulasztották az Egyezmény szerinti kötelezettségüket és megsértették a 3. cikk eljárási vonatkozásait a 14. </w:t>
            </w:r>
            <w:proofErr w:type="gramStart"/>
            <w:r w:rsidR="00807DAF">
              <w:rPr>
                <w:rFonts w:ascii="Verdana" w:eastAsia="MS Mincho" w:hAnsi="Verdana" w:cs="Times New Roman"/>
                <w:b w:val="0"/>
                <w:sz w:val="18"/>
                <w:szCs w:val="18"/>
                <w:lang w:val="hu-HU"/>
              </w:rPr>
              <w:t xml:space="preserve">cikkel </w:t>
            </w:r>
            <w:r w:rsidR="00C14FD0">
              <w:rPr>
                <w:rFonts w:ascii="Verdana" w:eastAsia="MS Mincho" w:hAnsi="Verdana" w:cs="Times New Roman"/>
                <w:b w:val="0"/>
                <w:sz w:val="18"/>
                <w:szCs w:val="18"/>
                <w:lang w:val="hu-HU"/>
              </w:rPr>
              <w:t xml:space="preserve"> összefüggésben</w:t>
            </w:r>
            <w:proofErr w:type="gramEnd"/>
            <w:r w:rsidR="00807DAF">
              <w:rPr>
                <w:rFonts w:ascii="Verdana" w:eastAsia="MS Mincho" w:hAnsi="Verdana" w:cs="Times New Roman"/>
                <w:b w:val="0"/>
                <w:sz w:val="18"/>
                <w:szCs w:val="18"/>
                <w:lang w:val="hu-HU"/>
              </w:rPr>
              <w:t>.</w:t>
            </w:r>
          </w:p>
          <w:p w:rsidR="00113F03" w:rsidRPr="00F1231E" w:rsidRDefault="00113F03" w:rsidP="00DD5F20">
            <w:pPr>
              <w:contextualSpacing/>
              <w:jc w:val="both"/>
              <w:rPr>
                <w:rFonts w:ascii="Verdana" w:eastAsia="MS Mincho" w:hAnsi="Verdana" w:cs="Times New Roman"/>
                <w:b w:val="0"/>
                <w:sz w:val="18"/>
                <w:szCs w:val="18"/>
                <w:lang w:val="hu-HU"/>
              </w:rPr>
            </w:pPr>
          </w:p>
          <w:p w:rsidR="00113F03" w:rsidRPr="00F1231E" w:rsidRDefault="00113F03" w:rsidP="00DD5F20">
            <w:pPr>
              <w:ind w:left="720"/>
              <w:contextualSpacing/>
              <w:jc w:val="both"/>
              <w:rPr>
                <w:rFonts w:ascii="Verdana" w:eastAsia="MS Mincho" w:hAnsi="Verdana" w:cs="Times New Roman"/>
                <w:b w:val="0"/>
                <w:i/>
                <w:sz w:val="18"/>
                <w:szCs w:val="18"/>
                <w:lang w:val="hu-HU"/>
              </w:rPr>
            </w:pPr>
            <w:r w:rsidRPr="00F1231E">
              <w:rPr>
                <w:rFonts w:ascii="Verdana" w:eastAsia="MS Mincho" w:hAnsi="Verdana" w:cs="Times New Roman"/>
                <w:b w:val="0"/>
                <w:i/>
                <w:sz w:val="18"/>
                <w:szCs w:val="18"/>
                <w:u w:val="single"/>
                <w:lang w:val="hu-HU"/>
              </w:rPr>
              <w:lastRenderedPageBreak/>
              <w:t>65</w:t>
            </w:r>
            <w:r w:rsidR="00807DAF">
              <w:rPr>
                <w:rFonts w:ascii="Verdana" w:eastAsia="MS Mincho" w:hAnsi="Verdana" w:cs="Times New Roman"/>
                <w:b w:val="0"/>
                <w:i/>
                <w:sz w:val="18"/>
                <w:szCs w:val="18"/>
                <w:u w:val="single"/>
                <w:lang w:val="hu-HU"/>
              </w:rPr>
              <w:t>. bekezdés</w:t>
            </w:r>
            <w:r w:rsidRPr="00F1231E">
              <w:rPr>
                <w:rFonts w:ascii="Verdana" w:eastAsia="MS Mincho" w:hAnsi="Verdana" w:cs="Times New Roman"/>
                <w:b w:val="0"/>
                <w:i/>
                <w:sz w:val="18"/>
                <w:szCs w:val="18"/>
                <w:lang w:val="hu-HU"/>
              </w:rPr>
              <w:t xml:space="preserve">: </w:t>
            </w:r>
            <w:r w:rsidR="00724E12">
              <w:rPr>
                <w:rFonts w:ascii="Verdana" w:eastAsia="MS Mincho" w:hAnsi="Verdana" w:cs="Times New Roman"/>
                <w:i/>
                <w:sz w:val="18"/>
                <w:szCs w:val="18"/>
                <w:lang w:val="hu-HU"/>
              </w:rPr>
              <w:t xml:space="preserve">A Bíróság ismételten hangsúlyozza, hogy ahol a nyomozás során bármilyen rasszista verbális erőszakra utaló bizonyíték előkerül, azt ellenőrizni kell, és ha megerősítést nyer, valamennyi tényt alapos vizsgálatnak kell alávetni, hogy bármilyen lehetséges rasszista indítékot fel lehessen </w:t>
            </w:r>
            <w:r w:rsidR="005334FC">
              <w:rPr>
                <w:rFonts w:ascii="Verdana" w:eastAsia="MS Mincho" w:hAnsi="Verdana" w:cs="Times New Roman"/>
                <w:i/>
                <w:sz w:val="18"/>
                <w:szCs w:val="18"/>
                <w:lang w:val="hu-HU"/>
              </w:rPr>
              <w:t>tár</w:t>
            </w:r>
            <w:r w:rsidR="00724E12">
              <w:rPr>
                <w:rFonts w:ascii="Verdana" w:eastAsia="MS Mincho" w:hAnsi="Verdana" w:cs="Times New Roman"/>
                <w:i/>
                <w:sz w:val="18"/>
                <w:szCs w:val="18"/>
                <w:lang w:val="hu-HU"/>
              </w:rPr>
              <w:t>ni</w:t>
            </w:r>
            <w:r w:rsidRPr="00F1231E">
              <w:rPr>
                <w:rFonts w:ascii="Verdana" w:eastAsia="MS Mincho" w:hAnsi="Verdana" w:cs="Times New Roman"/>
                <w:b w:val="0"/>
                <w:i/>
                <w:sz w:val="18"/>
                <w:szCs w:val="18"/>
                <w:lang w:val="hu-HU"/>
              </w:rPr>
              <w:t xml:space="preserve"> (</w:t>
            </w:r>
            <w:r w:rsidR="00724E12">
              <w:rPr>
                <w:rFonts w:ascii="Verdana" w:eastAsia="MS Mincho" w:hAnsi="Verdana" w:cs="Times New Roman"/>
                <w:b w:val="0"/>
                <w:i/>
                <w:sz w:val="18"/>
                <w:szCs w:val="18"/>
                <w:lang w:val="hu-HU"/>
              </w:rPr>
              <w:t>lásd</w:t>
            </w:r>
            <w:r w:rsidR="00C14FD0">
              <w:rPr>
                <w:rFonts w:ascii="Verdana" w:eastAsia="MS Mincho" w:hAnsi="Verdana" w:cs="Times New Roman"/>
                <w:b w:val="0"/>
                <w:i/>
                <w:sz w:val="18"/>
                <w:szCs w:val="18"/>
                <w:lang w:val="hu-HU"/>
              </w:rPr>
              <w:t xml:space="preserve"> </w:t>
            </w:r>
            <w:r w:rsidRPr="00F1231E">
              <w:rPr>
                <w:rFonts w:ascii="Verdana" w:eastAsia="MS Mincho" w:hAnsi="Verdana" w:cs="Times New Roman"/>
                <w:b w:val="0"/>
                <w:i/>
                <w:iCs/>
                <w:sz w:val="18"/>
                <w:szCs w:val="18"/>
                <w:lang w:val="hu-HU"/>
              </w:rPr>
              <w:t>Balázs</w:t>
            </w:r>
            <w:r w:rsidRPr="00F1231E">
              <w:rPr>
                <w:rFonts w:ascii="Verdana" w:eastAsia="MS Mincho" w:hAnsi="Verdana" w:cs="Times New Roman"/>
                <w:b w:val="0"/>
                <w:i/>
                <w:sz w:val="18"/>
                <w:szCs w:val="18"/>
                <w:lang w:val="hu-HU"/>
              </w:rPr>
              <w:t xml:space="preserve">, </w:t>
            </w:r>
            <w:r w:rsidR="00724E12">
              <w:rPr>
                <w:rFonts w:ascii="Verdana" w:eastAsia="MS Mincho" w:hAnsi="Verdana" w:cs="Times New Roman"/>
                <w:b w:val="0"/>
                <w:i/>
                <w:sz w:val="18"/>
                <w:szCs w:val="18"/>
                <w:lang w:val="hu-HU"/>
              </w:rPr>
              <w:t>mint fent</w:t>
            </w:r>
            <w:r w:rsidRPr="00F1231E">
              <w:rPr>
                <w:rFonts w:ascii="Verdana" w:eastAsia="MS Mincho" w:hAnsi="Verdana" w:cs="Times New Roman"/>
                <w:b w:val="0"/>
                <w:i/>
                <w:sz w:val="18"/>
                <w:szCs w:val="18"/>
                <w:lang w:val="hu-HU"/>
              </w:rPr>
              <w:t>, 61</w:t>
            </w:r>
            <w:r w:rsidR="00724E12">
              <w:rPr>
                <w:rFonts w:ascii="Verdana" w:eastAsia="MS Mincho" w:hAnsi="Verdana" w:cs="Times New Roman"/>
                <w:b w:val="0"/>
                <w:i/>
                <w:sz w:val="18"/>
                <w:szCs w:val="18"/>
                <w:lang w:val="hu-HU"/>
              </w:rPr>
              <w:t>. bekezdés</w:t>
            </w:r>
            <w:r w:rsidRPr="00F1231E">
              <w:rPr>
                <w:rFonts w:ascii="Verdana" w:eastAsia="MS Mincho" w:hAnsi="Verdana" w:cs="Times New Roman"/>
                <w:b w:val="0"/>
                <w:i/>
                <w:sz w:val="18"/>
                <w:szCs w:val="18"/>
                <w:lang w:val="hu-HU"/>
              </w:rPr>
              <w:t xml:space="preserve">). </w:t>
            </w:r>
            <w:r w:rsidR="00724E12">
              <w:rPr>
                <w:rFonts w:ascii="Verdana" w:eastAsia="MS Mincho" w:hAnsi="Verdana" w:cs="Times New Roman"/>
                <w:b w:val="0"/>
                <w:i/>
                <w:sz w:val="18"/>
                <w:szCs w:val="18"/>
                <w:lang w:val="hu-HU"/>
              </w:rPr>
              <w:t xml:space="preserve">Ráadásul a támadás átalános kontextusát is figyelembe kell venni. Ahogyan a Bíróság ítélkezési gyakorlatában már rávilágított, a nemzeti hatóságoknak figyelembe kell venniük, hogy az elkövetők indítékai összetettek, és azokat szituációs körülmények éppúgy, vagy még jobban befolyásolhatják, mint elfogult hozzáállásuk </w:t>
            </w:r>
            <w:r w:rsidRPr="00F1231E">
              <w:rPr>
                <w:rFonts w:ascii="Verdana" w:eastAsia="MS Mincho" w:hAnsi="Verdana" w:cs="Times New Roman"/>
                <w:b w:val="0"/>
                <w:i/>
                <w:sz w:val="18"/>
                <w:szCs w:val="18"/>
                <w:lang w:val="hu-HU"/>
              </w:rPr>
              <w:t>(</w:t>
            </w:r>
            <w:r w:rsidR="00724E12">
              <w:rPr>
                <w:rFonts w:ascii="Verdana" w:eastAsia="MS Mincho" w:hAnsi="Verdana" w:cs="Times New Roman"/>
                <w:b w:val="0"/>
                <w:i/>
                <w:sz w:val="18"/>
                <w:szCs w:val="18"/>
                <w:lang w:val="hu-HU"/>
              </w:rPr>
              <w:t>lásd</w:t>
            </w:r>
            <w:r w:rsidRPr="00F1231E">
              <w:rPr>
                <w:rFonts w:ascii="Verdana" w:eastAsia="MS Mincho" w:hAnsi="Verdana" w:cs="Times New Roman"/>
                <w:b w:val="0"/>
                <w:i/>
                <w:sz w:val="18"/>
                <w:szCs w:val="18"/>
                <w:lang w:val="hu-HU"/>
              </w:rPr>
              <w:t xml:space="preserve"> 55</w:t>
            </w:r>
            <w:r w:rsidR="00724E12">
              <w:rPr>
                <w:rFonts w:ascii="Verdana" w:eastAsia="MS Mincho" w:hAnsi="Verdana" w:cs="Times New Roman"/>
                <w:b w:val="0"/>
                <w:i/>
                <w:sz w:val="18"/>
                <w:szCs w:val="18"/>
                <w:lang w:val="hu-HU"/>
              </w:rPr>
              <w:t>.bekezdés</w:t>
            </w:r>
            <w:r w:rsidRPr="00F1231E">
              <w:rPr>
                <w:rFonts w:ascii="Verdana" w:eastAsia="MS Mincho" w:hAnsi="Verdana" w:cs="Times New Roman"/>
                <w:b w:val="0"/>
                <w:i/>
                <w:sz w:val="18"/>
                <w:szCs w:val="18"/>
                <w:lang w:val="hu-HU"/>
              </w:rPr>
              <w:t xml:space="preserve">). </w:t>
            </w:r>
          </w:p>
          <w:p w:rsidR="00113F03" w:rsidRPr="00F1231E" w:rsidRDefault="00113F03" w:rsidP="00DD5F20">
            <w:pPr>
              <w:ind w:left="720"/>
              <w:contextualSpacing/>
              <w:jc w:val="both"/>
              <w:rPr>
                <w:rFonts w:ascii="Verdana" w:eastAsia="MS Mincho" w:hAnsi="Verdana" w:cs="Times New Roman"/>
                <w:b w:val="0"/>
                <w:i/>
                <w:sz w:val="18"/>
                <w:szCs w:val="18"/>
                <w:lang w:val="hu-HU"/>
              </w:rPr>
            </w:pPr>
          </w:p>
          <w:p w:rsidR="00113F03" w:rsidRPr="00E87B27" w:rsidRDefault="00113F03" w:rsidP="00E87B27">
            <w:pPr>
              <w:ind w:left="720"/>
              <w:contextualSpacing/>
              <w:jc w:val="both"/>
              <w:rPr>
                <w:rFonts w:ascii="Verdana" w:eastAsia="MS Mincho" w:hAnsi="Verdana" w:cs="Times New Roman"/>
                <w:b w:val="0"/>
                <w:bCs w:val="0"/>
                <w:sz w:val="18"/>
                <w:szCs w:val="18"/>
                <w:lang w:val="hu-HU"/>
              </w:rPr>
            </w:pPr>
            <w:proofErr w:type="gramStart"/>
            <w:r w:rsidRPr="00F1231E">
              <w:rPr>
                <w:rFonts w:ascii="Verdana" w:eastAsia="MS Mincho" w:hAnsi="Verdana" w:cs="Times New Roman"/>
                <w:b w:val="0"/>
                <w:i/>
                <w:sz w:val="18"/>
                <w:szCs w:val="18"/>
                <w:u w:val="single"/>
                <w:lang w:val="hu-HU"/>
              </w:rPr>
              <w:t>66</w:t>
            </w:r>
            <w:r w:rsidR="00724E12">
              <w:rPr>
                <w:rFonts w:ascii="Verdana" w:eastAsia="MS Mincho" w:hAnsi="Verdana" w:cs="Times New Roman"/>
                <w:b w:val="0"/>
                <w:i/>
                <w:sz w:val="18"/>
                <w:szCs w:val="18"/>
                <w:u w:val="single"/>
                <w:lang w:val="hu-HU"/>
              </w:rPr>
              <w:t>. bekezdés</w:t>
            </w:r>
            <w:r w:rsidRPr="00F1231E">
              <w:rPr>
                <w:rFonts w:ascii="Verdana" w:eastAsia="MS Mincho" w:hAnsi="Verdana" w:cs="Times New Roman"/>
                <w:b w:val="0"/>
                <w:i/>
                <w:sz w:val="18"/>
                <w:szCs w:val="18"/>
                <w:lang w:val="hu-HU"/>
              </w:rPr>
              <w:t xml:space="preserve">: (…) </w:t>
            </w:r>
            <w:r w:rsidR="00724E12">
              <w:rPr>
                <w:rFonts w:ascii="Verdana" w:eastAsia="MS Mincho" w:hAnsi="Verdana" w:cs="Times New Roman"/>
                <w:i/>
                <w:sz w:val="18"/>
                <w:szCs w:val="18"/>
                <w:lang w:val="hu-HU"/>
              </w:rPr>
              <w:t xml:space="preserve">hasznos lehet ismételten felhívni a figyelmet, hogy </w:t>
            </w:r>
            <w:r w:rsidR="006E48C2">
              <w:rPr>
                <w:rFonts w:ascii="Verdana" w:eastAsia="MS Mincho" w:hAnsi="Verdana" w:cs="Times New Roman"/>
                <w:i/>
                <w:sz w:val="18"/>
                <w:szCs w:val="18"/>
                <w:lang w:val="hu-HU"/>
              </w:rPr>
              <w:t>a hatóságok</w:t>
            </w:r>
            <w:r w:rsidR="00724E12">
              <w:rPr>
                <w:rFonts w:ascii="Verdana" w:eastAsia="MS Mincho" w:hAnsi="Verdana" w:cs="Times New Roman"/>
                <w:i/>
                <w:sz w:val="18"/>
                <w:szCs w:val="18"/>
                <w:lang w:val="hu-HU"/>
              </w:rPr>
              <w:t xml:space="preserve"> Egyezmény szerint</w:t>
            </w:r>
            <w:r w:rsidR="006E48C2">
              <w:rPr>
                <w:rFonts w:ascii="Verdana" w:eastAsia="MS Mincho" w:hAnsi="Verdana" w:cs="Times New Roman"/>
                <w:i/>
                <w:sz w:val="18"/>
                <w:szCs w:val="18"/>
                <w:lang w:val="hu-HU"/>
              </w:rPr>
              <w:t>i</w:t>
            </w:r>
            <w:r w:rsidR="00724E12">
              <w:rPr>
                <w:rFonts w:ascii="Verdana" w:eastAsia="MS Mincho" w:hAnsi="Verdana" w:cs="Times New Roman"/>
                <w:i/>
                <w:sz w:val="18"/>
                <w:szCs w:val="18"/>
                <w:lang w:val="hu-HU"/>
              </w:rPr>
              <w:t xml:space="preserve"> kötele</w:t>
            </w:r>
            <w:r w:rsidR="006E48C2">
              <w:rPr>
                <w:rFonts w:ascii="Verdana" w:eastAsia="MS Mincho" w:hAnsi="Verdana" w:cs="Times New Roman"/>
                <w:i/>
                <w:sz w:val="18"/>
                <w:szCs w:val="18"/>
                <w:lang w:val="hu-HU"/>
              </w:rPr>
              <w:t>zettsé</w:t>
            </w:r>
            <w:r w:rsidR="00724E12">
              <w:rPr>
                <w:rFonts w:ascii="Verdana" w:eastAsia="MS Mincho" w:hAnsi="Verdana" w:cs="Times New Roman"/>
                <w:i/>
                <w:sz w:val="18"/>
                <w:szCs w:val="18"/>
                <w:lang w:val="hu-HU"/>
              </w:rPr>
              <w:t>ge, hogy próbálják meg feltárni az esetleges öss</w:t>
            </w:r>
            <w:r w:rsidR="006E48C2">
              <w:rPr>
                <w:rFonts w:ascii="Verdana" w:eastAsia="MS Mincho" w:hAnsi="Verdana" w:cs="Times New Roman"/>
                <w:i/>
                <w:sz w:val="18"/>
                <w:szCs w:val="18"/>
                <w:lang w:val="hu-HU"/>
              </w:rPr>
              <w:t>ze</w:t>
            </w:r>
            <w:r w:rsidR="00724E12">
              <w:rPr>
                <w:rFonts w:ascii="Verdana" w:eastAsia="MS Mincho" w:hAnsi="Verdana" w:cs="Times New Roman"/>
                <w:i/>
                <w:sz w:val="18"/>
                <w:szCs w:val="18"/>
                <w:lang w:val="hu-HU"/>
              </w:rPr>
              <w:t xml:space="preserve">függést a </w:t>
            </w:r>
            <w:r w:rsidR="006E48C2">
              <w:rPr>
                <w:rFonts w:ascii="Verdana" w:eastAsia="MS Mincho" w:hAnsi="Verdana" w:cs="Times New Roman"/>
                <w:i/>
                <w:sz w:val="18"/>
                <w:szCs w:val="18"/>
                <w:lang w:val="hu-HU"/>
              </w:rPr>
              <w:t>rasszista hozzáállás és az adott erőszakos cselekmény között nem csak az áldozat valós vagy vélt személyes állapotán vagy tulajdonságain alapuló erőszakos cselekményekkel kapcsolatban é</w:t>
            </w:r>
            <w:r w:rsidR="005334FC">
              <w:rPr>
                <w:rFonts w:ascii="Verdana" w:eastAsia="MS Mincho" w:hAnsi="Verdana" w:cs="Times New Roman"/>
                <w:i/>
                <w:sz w:val="18"/>
                <w:szCs w:val="18"/>
                <w:lang w:val="hu-HU"/>
              </w:rPr>
              <w:t>rvényes</w:t>
            </w:r>
            <w:r w:rsidR="006E48C2">
              <w:rPr>
                <w:rFonts w:ascii="Verdana" w:eastAsia="MS Mincho" w:hAnsi="Verdana" w:cs="Times New Roman"/>
                <w:i/>
                <w:sz w:val="18"/>
                <w:szCs w:val="18"/>
                <w:lang w:val="hu-HU"/>
              </w:rPr>
              <w:t xml:space="preserve">, </w:t>
            </w:r>
            <w:r w:rsidR="00724E12">
              <w:rPr>
                <w:rFonts w:ascii="Verdana" w:eastAsia="MS Mincho" w:hAnsi="Verdana" w:cs="Times New Roman"/>
                <w:i/>
                <w:sz w:val="18"/>
                <w:szCs w:val="18"/>
                <w:lang w:val="hu-HU"/>
              </w:rPr>
              <w:t>han</w:t>
            </w:r>
            <w:r w:rsidR="006E48C2">
              <w:rPr>
                <w:rFonts w:ascii="Verdana" w:eastAsia="MS Mincho" w:hAnsi="Verdana" w:cs="Times New Roman"/>
                <w:i/>
                <w:sz w:val="18"/>
                <w:szCs w:val="18"/>
                <w:lang w:val="hu-HU"/>
              </w:rPr>
              <w:t xml:space="preserve">em az áldozat másik sajátos állapotú vagy védett tulajdonsággal rendelkező személyhez fűződő valós vagy vélt kapcsolatán alapuló erőszakos cselekményekkel kapcsolatban is </w:t>
            </w:r>
            <w:r w:rsidR="006E48C2" w:rsidRPr="006E48C2">
              <w:rPr>
                <w:rFonts w:ascii="Verdana" w:eastAsia="MS Mincho" w:hAnsi="Verdana" w:cs="Times New Roman"/>
                <w:b w:val="0"/>
                <w:i/>
                <w:sz w:val="18"/>
                <w:szCs w:val="18"/>
                <w:lang w:val="hu-HU"/>
              </w:rPr>
              <w:t>(lásd 56. bekezdés).</w:t>
            </w:r>
            <w:proofErr w:type="gramEnd"/>
            <w:r w:rsidR="006E48C2">
              <w:rPr>
                <w:rFonts w:ascii="Verdana" w:eastAsia="MS Mincho" w:hAnsi="Verdana" w:cs="Times New Roman"/>
                <w:b w:val="0"/>
                <w:sz w:val="18"/>
                <w:szCs w:val="18"/>
                <w:lang w:val="hu-HU"/>
              </w:rPr>
              <w:t xml:space="preserve"> A </w:t>
            </w:r>
            <w:r w:rsidR="00A70C6D">
              <w:rPr>
                <w:rFonts w:ascii="Verdana" w:eastAsia="MS Mincho" w:hAnsi="Verdana" w:cs="Times New Roman"/>
                <w:b w:val="0"/>
                <w:sz w:val="18"/>
                <w:szCs w:val="18"/>
                <w:lang w:val="hu-HU"/>
              </w:rPr>
              <w:t>gyűlölet-bűncselekmény</w:t>
            </w:r>
            <w:r w:rsidR="006E48C2">
              <w:rPr>
                <w:rFonts w:ascii="Verdana" w:eastAsia="MS Mincho" w:hAnsi="Verdana" w:cs="Times New Roman"/>
                <w:b w:val="0"/>
                <w:sz w:val="18"/>
                <w:szCs w:val="18"/>
                <w:lang w:val="hu-HU"/>
              </w:rPr>
              <w:t>ek egyes áldozatait ténylegesen nem azért választják ki, mert ők maguk rendelkeznek valamely sajátos tulajdonsággal, hanem azért</w:t>
            </w:r>
            <w:r w:rsidR="00E87B27">
              <w:rPr>
                <w:rFonts w:ascii="Verdana" w:eastAsia="MS Mincho" w:hAnsi="Verdana" w:cs="Times New Roman"/>
                <w:b w:val="0"/>
                <w:sz w:val="18"/>
                <w:szCs w:val="18"/>
                <w:lang w:val="hu-HU"/>
              </w:rPr>
              <w:t>,</w:t>
            </w:r>
            <w:r w:rsidR="006E48C2">
              <w:rPr>
                <w:rFonts w:ascii="Verdana" w:eastAsia="MS Mincho" w:hAnsi="Verdana" w:cs="Times New Roman"/>
                <w:b w:val="0"/>
                <w:sz w:val="18"/>
                <w:szCs w:val="18"/>
                <w:lang w:val="hu-HU"/>
              </w:rPr>
              <w:t xml:space="preserve"> mert kapcsolat fűzi őket egy olyan másik személyhez, aki </w:t>
            </w:r>
            <w:r w:rsidR="00E87B27">
              <w:rPr>
                <w:rFonts w:ascii="Verdana" w:eastAsia="MS Mincho" w:hAnsi="Verdana" w:cs="Times New Roman"/>
                <w:b w:val="0"/>
                <w:sz w:val="18"/>
                <w:szCs w:val="18"/>
                <w:lang w:val="hu-HU"/>
              </w:rPr>
              <w:t>valós vagy vélt módon rendelkezik az adott tulajdonsá</w:t>
            </w:r>
            <w:r w:rsidR="00E87B27" w:rsidRPr="00E87B27">
              <w:rPr>
                <w:rFonts w:ascii="Verdana" w:eastAsia="MS Mincho" w:hAnsi="Verdana" w:cs="Times New Roman"/>
                <w:b w:val="0"/>
                <w:sz w:val="18"/>
                <w:szCs w:val="18"/>
                <w:lang w:val="hu-HU"/>
              </w:rPr>
              <w:t>ggal</w:t>
            </w:r>
            <w:r w:rsidR="00E87B27" w:rsidRPr="00E87B27">
              <w:rPr>
                <w:rFonts w:ascii="Verdana" w:eastAsia="MS Mincho" w:hAnsi="Verdana" w:cs="Times New Roman"/>
                <w:b w:val="0"/>
                <w:bCs w:val="0"/>
                <w:sz w:val="18"/>
                <w:szCs w:val="18"/>
                <w:lang w:val="hu-HU"/>
              </w:rPr>
              <w:t xml:space="preserve">. Ez a kapcsolat </w:t>
            </w:r>
            <w:r w:rsidR="00E87B27">
              <w:rPr>
                <w:rFonts w:ascii="Verdana" w:eastAsia="MS Mincho" w:hAnsi="Verdana" w:cs="Times New Roman"/>
                <w:b w:val="0"/>
                <w:bCs w:val="0"/>
                <w:sz w:val="18"/>
                <w:szCs w:val="18"/>
                <w:lang w:val="hu-HU"/>
              </w:rPr>
              <w:t>lehet az áldozat tagsága egy adott csoportban vagy az áldozat valós vagy vélt kötődése egy adott csoport tagjához például magánjellegű kapcsolat, barátság vagy házasság által (lásd 33-34. bekezdés).</w:t>
            </w:r>
          </w:p>
          <w:p w:rsidR="00113F03" w:rsidRPr="00F1231E" w:rsidRDefault="00113F03" w:rsidP="00DD5F20">
            <w:pPr>
              <w:jc w:val="both"/>
              <w:rPr>
                <w:rFonts w:ascii="Verdana" w:eastAsia="MS Mincho" w:hAnsi="Verdana" w:cs="Times New Roman"/>
                <w:sz w:val="18"/>
                <w:szCs w:val="18"/>
                <w:lang w:val="hu-HU"/>
              </w:rPr>
            </w:pPr>
          </w:p>
        </w:tc>
      </w:tr>
    </w:tbl>
    <w:p w:rsidR="00E93A01" w:rsidRPr="00F1231E" w:rsidRDefault="00E93A01" w:rsidP="00113F03">
      <w:pPr>
        <w:jc w:val="both"/>
        <w:rPr>
          <w:rFonts w:ascii="Times New Roman" w:hAnsi="Times New Roman" w:cs="Times New Roman"/>
          <w:iCs/>
          <w:sz w:val="24"/>
          <w:szCs w:val="24"/>
        </w:rPr>
      </w:pPr>
    </w:p>
    <w:p w:rsidR="00BF7CAD" w:rsidRPr="00F1231E" w:rsidRDefault="00113F03" w:rsidP="00113F03">
      <w:pPr>
        <w:pStyle w:val="Cmsor1"/>
      </w:pPr>
      <w:bookmarkStart w:id="5" w:name="_Toc515458774"/>
      <w:r w:rsidRPr="00F1231E">
        <w:t>2</w:t>
      </w:r>
      <w:r w:rsidR="00BF7CAD" w:rsidRPr="00F1231E">
        <w:t xml:space="preserve">. </w:t>
      </w:r>
      <w:r w:rsidR="00E87B27">
        <w:t xml:space="preserve">A </w:t>
      </w:r>
      <w:r w:rsidR="00A70C6D">
        <w:t>gyűlölet-bűncselekmény</w:t>
      </w:r>
      <w:r w:rsidR="00E87B27">
        <w:t xml:space="preserve">ek </w:t>
      </w:r>
      <w:r w:rsidR="00BB7EB3">
        <w:t>hatása</w:t>
      </w:r>
      <w:r w:rsidR="00E87B27">
        <w:t>i</w:t>
      </w:r>
      <w:bookmarkEnd w:id="5"/>
    </w:p>
    <w:p w:rsidR="00DB566C" w:rsidRPr="00F1231E" w:rsidRDefault="00DB566C" w:rsidP="00BF7CAD">
      <w:pPr>
        <w:jc w:val="both"/>
        <w:rPr>
          <w:i/>
          <w:iCs/>
          <w:color w:val="808080" w:themeColor="text1" w:themeTint="7F"/>
        </w:rPr>
      </w:pPr>
    </w:p>
    <w:p w:rsidR="00BF7CAD" w:rsidRPr="00F1231E" w:rsidRDefault="00E87B27" w:rsidP="00BF7CAD">
      <w:pPr>
        <w:jc w:val="both"/>
        <w:rPr>
          <w:rFonts w:ascii="Times New Roman" w:hAnsi="Times New Roman" w:cs="Times New Roman"/>
          <w:b/>
          <w:iCs/>
          <w:sz w:val="24"/>
          <w:szCs w:val="24"/>
        </w:rPr>
      </w:pPr>
      <w:r>
        <w:rPr>
          <w:i/>
          <w:iCs/>
          <w:color w:val="808080" w:themeColor="text1" w:themeTint="7F"/>
        </w:rPr>
        <w:t>A gyűlölet-bűncselekmények áldozatai gyakran továbbra is fenyegetve érzik magukat még hosszú idővel a támadás után is, hiszen pusztán azért kerültek célkeresztbe, mert azok, akik. Ezek a bűncselekmények mindenkit áldozattá tesznek – az egyéneket és az egész közösségünket is</w:t>
      </w:r>
      <w:r w:rsidR="00BF7CAD" w:rsidRPr="00F1231E">
        <w:rPr>
          <w:i/>
          <w:iCs/>
          <w:color w:val="808080" w:themeColor="text1" w:themeTint="7F"/>
        </w:rPr>
        <w:t>.</w:t>
      </w:r>
      <w:r w:rsidR="00BF7CAD" w:rsidRPr="00F1231E">
        <w:rPr>
          <w:rFonts w:ascii="Times New Roman" w:hAnsi="Times New Roman" w:cs="Times New Roman"/>
          <w:iCs/>
          <w:szCs w:val="24"/>
          <w:vertAlign w:val="superscript"/>
        </w:rPr>
        <w:footnoteReference w:id="21"/>
      </w:r>
    </w:p>
    <w:p w:rsidR="00BB7EB3" w:rsidRDefault="00E87B27" w:rsidP="002800D4">
      <w:pPr>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Ahogyan már említettük, a gyűlölet-bűncselekmények két fő jellemzője, hogy </w:t>
      </w:r>
      <w:r w:rsidR="00BB7EB3">
        <w:rPr>
          <w:rFonts w:ascii="Times New Roman" w:hAnsi="Times New Roman" w:cs="Times New Roman"/>
          <w:iCs/>
          <w:sz w:val="24"/>
          <w:szCs w:val="24"/>
        </w:rPr>
        <w:t xml:space="preserve">a nemzeti jog szerint bűncselekménynek kell minősülniük, és hogy az elkövetőket az </w:t>
      </w:r>
      <w:proofErr w:type="gramStart"/>
      <w:r w:rsidR="00BB7EB3">
        <w:rPr>
          <w:rFonts w:ascii="Times New Roman" w:hAnsi="Times New Roman" w:cs="Times New Roman"/>
          <w:iCs/>
          <w:sz w:val="24"/>
          <w:szCs w:val="24"/>
        </w:rPr>
        <w:t>áldozat(</w:t>
      </w:r>
      <w:proofErr w:type="spellStart"/>
      <w:proofErr w:type="gramEnd"/>
      <w:r w:rsidR="00BB7EB3">
        <w:rPr>
          <w:rFonts w:ascii="Times New Roman" w:hAnsi="Times New Roman" w:cs="Times New Roman"/>
          <w:iCs/>
          <w:sz w:val="24"/>
          <w:szCs w:val="24"/>
        </w:rPr>
        <w:t>okk</w:t>
      </w:r>
      <w:proofErr w:type="spellEnd"/>
      <w:r w:rsidR="00BB7EB3">
        <w:rPr>
          <w:rFonts w:ascii="Times New Roman" w:hAnsi="Times New Roman" w:cs="Times New Roman"/>
          <w:iCs/>
          <w:sz w:val="24"/>
          <w:szCs w:val="24"/>
        </w:rPr>
        <w:t>)</w:t>
      </w:r>
      <w:proofErr w:type="spellStart"/>
      <w:r w:rsidR="00BB7EB3">
        <w:rPr>
          <w:rFonts w:ascii="Times New Roman" w:hAnsi="Times New Roman" w:cs="Times New Roman"/>
          <w:iCs/>
          <w:sz w:val="24"/>
          <w:szCs w:val="24"/>
        </w:rPr>
        <w:t>al</w:t>
      </w:r>
      <w:proofErr w:type="spellEnd"/>
      <w:r w:rsidR="00BB7EB3">
        <w:rPr>
          <w:rFonts w:ascii="Times New Roman" w:hAnsi="Times New Roman" w:cs="Times New Roman"/>
          <w:iCs/>
          <w:sz w:val="24"/>
          <w:szCs w:val="24"/>
        </w:rPr>
        <w:t xml:space="preserve"> szemben táplált </w:t>
      </w:r>
      <w:r w:rsidR="007E1485">
        <w:rPr>
          <w:rFonts w:ascii="Times New Roman" w:hAnsi="Times New Roman" w:cs="Times New Roman"/>
          <w:iCs/>
          <w:sz w:val="24"/>
          <w:szCs w:val="24"/>
        </w:rPr>
        <w:t xml:space="preserve">előítéletes </w:t>
      </w:r>
      <w:r w:rsidR="00BB7EB3">
        <w:rPr>
          <w:rFonts w:ascii="Times New Roman" w:hAnsi="Times New Roman" w:cs="Times New Roman"/>
          <w:iCs/>
          <w:sz w:val="24"/>
          <w:szCs w:val="24"/>
        </w:rPr>
        <w:t>nézeteiknek kell motiválni</w:t>
      </w:r>
      <w:r w:rsidR="005334FC">
        <w:rPr>
          <w:rFonts w:ascii="Times New Roman" w:hAnsi="Times New Roman" w:cs="Times New Roman"/>
          <w:iCs/>
          <w:sz w:val="24"/>
          <w:szCs w:val="24"/>
        </w:rPr>
        <w:t>uk</w:t>
      </w:r>
      <w:r w:rsidR="00BB7EB3">
        <w:rPr>
          <w:rFonts w:ascii="Times New Roman" w:hAnsi="Times New Roman" w:cs="Times New Roman"/>
          <w:iCs/>
          <w:sz w:val="24"/>
          <w:szCs w:val="24"/>
        </w:rPr>
        <w:t>. Vagyis az indítéknak nem feltétlenü</w:t>
      </w:r>
      <w:r w:rsidR="007E1485">
        <w:rPr>
          <w:rFonts w:ascii="Times New Roman" w:hAnsi="Times New Roman" w:cs="Times New Roman"/>
          <w:iCs/>
          <w:sz w:val="24"/>
          <w:szCs w:val="24"/>
        </w:rPr>
        <w:t>l</w:t>
      </w:r>
      <w:r w:rsidR="00BB7EB3">
        <w:rPr>
          <w:rFonts w:ascii="Times New Roman" w:hAnsi="Times New Roman" w:cs="Times New Roman"/>
          <w:iCs/>
          <w:sz w:val="24"/>
          <w:szCs w:val="24"/>
        </w:rPr>
        <w:t xml:space="preserve"> ahhoz kell kötődnie, hogy </w:t>
      </w:r>
      <w:proofErr w:type="gramStart"/>
      <w:r w:rsidR="00BB7EB3">
        <w:rPr>
          <w:rFonts w:ascii="Times New Roman" w:hAnsi="Times New Roman" w:cs="Times New Roman"/>
          <w:iCs/>
          <w:sz w:val="24"/>
          <w:szCs w:val="24"/>
        </w:rPr>
        <w:t>ki(</w:t>
      </w:r>
      <w:proofErr w:type="gramEnd"/>
      <w:r w:rsidR="00BB7EB3">
        <w:rPr>
          <w:rFonts w:ascii="Times New Roman" w:hAnsi="Times New Roman" w:cs="Times New Roman"/>
          <w:iCs/>
          <w:sz w:val="24"/>
          <w:szCs w:val="24"/>
        </w:rPr>
        <w:t>k) az áldozat(ok) vagy mit tettek valójában, hanem ahhoz, amit képviselnek vagy megjelenítenek.</w:t>
      </w:r>
    </w:p>
    <w:p w:rsidR="00BB7EB3" w:rsidRDefault="00BB7EB3" w:rsidP="00553464">
      <w:pPr>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Ez utóbbi aspektus az, amin keresztül nyilvánvalóvá válik, miért sokkal kiterjedtebbek és súlyosabbak a </w:t>
      </w:r>
      <w:r w:rsidR="00A70C6D">
        <w:rPr>
          <w:rFonts w:ascii="Times New Roman" w:hAnsi="Times New Roman" w:cs="Times New Roman"/>
          <w:iCs/>
          <w:sz w:val="24"/>
          <w:szCs w:val="24"/>
        </w:rPr>
        <w:t>gyűlölet-bűncselekmény</w:t>
      </w:r>
      <w:r>
        <w:rPr>
          <w:rFonts w:ascii="Times New Roman" w:hAnsi="Times New Roman" w:cs="Times New Roman"/>
          <w:iCs/>
          <w:sz w:val="24"/>
          <w:szCs w:val="24"/>
        </w:rPr>
        <w:t xml:space="preserve">ek hatásai, mint </w:t>
      </w:r>
      <w:proofErr w:type="gramStart"/>
      <w:r>
        <w:rPr>
          <w:rFonts w:ascii="Times New Roman" w:hAnsi="Times New Roman" w:cs="Times New Roman"/>
          <w:iCs/>
          <w:sz w:val="24"/>
          <w:szCs w:val="24"/>
        </w:rPr>
        <w:t>a</w:t>
      </w:r>
      <w:proofErr w:type="gramEnd"/>
      <w:r>
        <w:rPr>
          <w:rFonts w:ascii="Times New Roman" w:hAnsi="Times New Roman" w:cs="Times New Roman"/>
          <w:iCs/>
          <w:sz w:val="24"/>
          <w:szCs w:val="24"/>
        </w:rPr>
        <w:t xml:space="preserve"> </w:t>
      </w:r>
      <w:r w:rsidR="007B5154">
        <w:rPr>
          <w:rFonts w:ascii="Times New Roman" w:hAnsi="Times New Roman" w:cs="Times New Roman"/>
          <w:iCs/>
          <w:sz w:val="24"/>
          <w:szCs w:val="24"/>
        </w:rPr>
        <w:t xml:space="preserve">egyéb </w:t>
      </w:r>
      <w:r>
        <w:rPr>
          <w:rFonts w:ascii="Times New Roman" w:hAnsi="Times New Roman" w:cs="Times New Roman"/>
          <w:iCs/>
          <w:sz w:val="24"/>
          <w:szCs w:val="24"/>
        </w:rPr>
        <w:t xml:space="preserve">bűncselekményeké, és miért hozták létre nemzetközi és európai jogszabályok széles körét ezek kezelésére (további információért lásd </w:t>
      </w:r>
      <w:r w:rsidR="007E1485">
        <w:rPr>
          <w:rFonts w:ascii="Times New Roman" w:hAnsi="Times New Roman" w:cs="Times New Roman"/>
          <w:iCs/>
          <w:sz w:val="24"/>
          <w:szCs w:val="24"/>
        </w:rPr>
        <w:t>a jelen</w:t>
      </w:r>
      <w:r>
        <w:rPr>
          <w:rFonts w:ascii="Times New Roman" w:hAnsi="Times New Roman" w:cs="Times New Roman"/>
          <w:iCs/>
          <w:sz w:val="24"/>
          <w:szCs w:val="24"/>
        </w:rPr>
        <w:t xml:space="preserve"> </w:t>
      </w:r>
      <w:r w:rsidR="007E1485">
        <w:rPr>
          <w:rFonts w:ascii="Times New Roman" w:hAnsi="Times New Roman" w:cs="Times New Roman"/>
          <w:iCs/>
          <w:sz w:val="24"/>
          <w:szCs w:val="24"/>
        </w:rPr>
        <w:t xml:space="preserve">tanulmány </w:t>
      </w:r>
      <w:r>
        <w:rPr>
          <w:rFonts w:ascii="Times New Roman" w:hAnsi="Times New Roman" w:cs="Times New Roman"/>
          <w:iCs/>
          <w:sz w:val="24"/>
          <w:szCs w:val="24"/>
        </w:rPr>
        <w:t>4. fejezetét).</w:t>
      </w:r>
      <w:r w:rsidR="00553464">
        <w:rPr>
          <w:rFonts w:ascii="Times New Roman" w:hAnsi="Times New Roman" w:cs="Times New Roman"/>
          <w:iCs/>
          <w:sz w:val="24"/>
          <w:szCs w:val="24"/>
        </w:rPr>
        <w:t xml:space="preserve"> A gyűlölet-bűncselekmények nem csak közvetlenül az áldozatnak akarnak ártani, egyszerre akarnak ártani a szélesebb közösségnek is, amelyhez az áldozat tartozik, azzal, hogy félelmet </w:t>
      </w:r>
      <w:proofErr w:type="gramStart"/>
      <w:r w:rsidR="00553464">
        <w:rPr>
          <w:rFonts w:ascii="Times New Roman" w:hAnsi="Times New Roman" w:cs="Times New Roman"/>
          <w:iCs/>
          <w:sz w:val="24"/>
          <w:szCs w:val="24"/>
        </w:rPr>
        <w:t>keltenek</w:t>
      </w:r>
      <w:proofErr w:type="gramEnd"/>
      <w:r w:rsidR="00553464">
        <w:rPr>
          <w:rFonts w:ascii="Times New Roman" w:hAnsi="Times New Roman" w:cs="Times New Roman"/>
          <w:iCs/>
          <w:sz w:val="24"/>
          <w:szCs w:val="24"/>
        </w:rPr>
        <w:t xml:space="preserve"> vagy más módon terrorizálják az adott közösség tagjainak összeségét. Ez az oka annak is, hogy a gyűlölet-bűncselekményekkel </w:t>
      </w:r>
      <w:r w:rsidR="00553464">
        <w:rPr>
          <w:rFonts w:ascii="Times New Roman" w:hAnsi="Times New Roman" w:cs="Times New Roman"/>
          <w:iCs/>
          <w:sz w:val="24"/>
          <w:szCs w:val="24"/>
        </w:rPr>
        <w:lastRenderedPageBreak/>
        <w:t xml:space="preserve">kapcsolatos eljárásoknál más jogi megközelítést kell alkalmazni, mert </w:t>
      </w:r>
      <w:proofErr w:type="gramStart"/>
      <w:r w:rsidR="00553464">
        <w:rPr>
          <w:rFonts w:ascii="Times New Roman" w:hAnsi="Times New Roman" w:cs="Times New Roman"/>
          <w:iCs/>
          <w:sz w:val="24"/>
          <w:szCs w:val="24"/>
        </w:rPr>
        <w:t>ezen</w:t>
      </w:r>
      <w:proofErr w:type="gramEnd"/>
      <w:r w:rsidR="00553464">
        <w:rPr>
          <w:rFonts w:ascii="Times New Roman" w:hAnsi="Times New Roman" w:cs="Times New Roman"/>
          <w:iCs/>
          <w:sz w:val="24"/>
          <w:szCs w:val="24"/>
        </w:rPr>
        <w:t xml:space="preserve"> cselekmények kiterjedt hatása szükségessé teszi a </w:t>
      </w:r>
      <w:r w:rsidR="007E1485">
        <w:rPr>
          <w:rFonts w:ascii="Times New Roman" w:hAnsi="Times New Roman" w:cs="Times New Roman"/>
          <w:iCs/>
          <w:sz w:val="24"/>
          <w:szCs w:val="24"/>
        </w:rPr>
        <w:t>speciális</w:t>
      </w:r>
      <w:r w:rsidR="00553464">
        <w:rPr>
          <w:rFonts w:ascii="Times New Roman" w:hAnsi="Times New Roman" w:cs="Times New Roman"/>
          <w:iCs/>
          <w:sz w:val="24"/>
          <w:szCs w:val="24"/>
        </w:rPr>
        <w:t xml:space="preserve"> eszközöket mind a kiinduló okok kezelésében, mind pedig az igazságszolgáltatásban. Végső soron a gyűlölet-bűncselekmények nem csak </w:t>
      </w:r>
      <w:proofErr w:type="gramStart"/>
      <w:r w:rsidR="00553464">
        <w:rPr>
          <w:rFonts w:ascii="Times New Roman" w:hAnsi="Times New Roman" w:cs="Times New Roman"/>
          <w:iCs/>
          <w:sz w:val="24"/>
          <w:szCs w:val="24"/>
        </w:rPr>
        <w:t>önmaguknak</w:t>
      </w:r>
      <w:proofErr w:type="gramEnd"/>
      <w:r w:rsidR="00553464">
        <w:rPr>
          <w:rFonts w:ascii="Times New Roman" w:hAnsi="Times New Roman" w:cs="Times New Roman"/>
          <w:iCs/>
          <w:sz w:val="24"/>
          <w:szCs w:val="24"/>
        </w:rPr>
        <w:t xml:space="preserve"> az áldozatoknak a fizikai, anyagi és/vagy lelki jóllété</w:t>
      </w:r>
      <w:r w:rsidR="005334FC">
        <w:rPr>
          <w:rFonts w:ascii="Times New Roman" w:hAnsi="Times New Roman" w:cs="Times New Roman"/>
          <w:iCs/>
          <w:sz w:val="24"/>
          <w:szCs w:val="24"/>
        </w:rPr>
        <w:t>re vannak hatással</w:t>
      </w:r>
      <w:r w:rsidR="00553464">
        <w:rPr>
          <w:rFonts w:ascii="Times New Roman" w:hAnsi="Times New Roman" w:cs="Times New Roman"/>
          <w:iCs/>
          <w:sz w:val="24"/>
          <w:szCs w:val="24"/>
        </w:rPr>
        <w:t xml:space="preserve">, hanem közvetlen ellentmondásban állnak a modern társadalmak demokratikus jogok és értékek tiszteletére vonatkozó bevett jogszabályaival és normáival is.   </w:t>
      </w:r>
    </w:p>
    <w:p w:rsidR="00BF7CAD" w:rsidRPr="00F1231E" w:rsidRDefault="00BF7CAD" w:rsidP="00BF7CAD">
      <w:pPr>
        <w:jc w:val="both"/>
        <w:rPr>
          <w:rFonts w:ascii="Times New Roman" w:hAnsi="Times New Roman" w:cs="Times New Roman"/>
          <w:iCs/>
          <w:szCs w:val="24"/>
        </w:rPr>
      </w:pPr>
    </w:p>
    <w:tbl>
      <w:tblPr>
        <w:tblStyle w:val="MediumGrid1-Accent52"/>
        <w:tblW w:w="0" w:type="auto"/>
        <w:tblLook w:val="04A0" w:firstRow="1" w:lastRow="0" w:firstColumn="1" w:lastColumn="0" w:noHBand="0" w:noVBand="1"/>
      </w:tblPr>
      <w:tblGrid>
        <w:gridCol w:w="8440"/>
      </w:tblGrid>
      <w:tr w:rsidR="00BF7CAD" w:rsidRPr="00F1231E" w:rsidTr="00D23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0" w:type="dxa"/>
          </w:tcPr>
          <w:p w:rsidR="00BF7CAD" w:rsidRPr="00F1231E" w:rsidRDefault="00BF7CAD" w:rsidP="00BF7CAD">
            <w:pPr>
              <w:contextualSpacing/>
              <w:jc w:val="both"/>
              <w:rPr>
                <w:rFonts w:ascii="Verdana" w:hAnsi="Verdana"/>
                <w:sz w:val="18"/>
                <w:szCs w:val="18"/>
                <w:lang w:val="hu-HU"/>
              </w:rPr>
            </w:pPr>
          </w:p>
          <w:p w:rsidR="00BF7CAD" w:rsidRPr="00F1231E" w:rsidRDefault="00553464" w:rsidP="00BF7CAD">
            <w:pPr>
              <w:contextualSpacing/>
              <w:jc w:val="both"/>
              <w:rPr>
                <w:rFonts w:ascii="Verdana" w:eastAsia="MS Mincho" w:hAnsi="Verdana" w:cs="Times New Roman"/>
                <w:b w:val="0"/>
                <w:iCs/>
                <w:color w:val="943634"/>
                <w:sz w:val="19"/>
                <w:szCs w:val="19"/>
                <w:lang w:val="hu-HU"/>
              </w:rPr>
            </w:pPr>
            <w:r>
              <w:rPr>
                <w:rFonts w:ascii="Verdana" w:eastAsia="MS Mincho" w:hAnsi="Verdana" w:cs="Times New Roman"/>
                <w:b w:val="0"/>
                <w:color w:val="943634"/>
                <w:sz w:val="19"/>
                <w:szCs w:val="19"/>
                <w:lang w:val="hu-HU"/>
              </w:rPr>
              <w:t>Emberi Jogok Európai Bírósága</w:t>
            </w:r>
            <w:r w:rsidR="00BF7CAD" w:rsidRPr="00F1231E">
              <w:rPr>
                <w:rFonts w:ascii="Verdana" w:eastAsia="MS Mincho" w:hAnsi="Verdana" w:cs="Times New Roman"/>
                <w:b w:val="0"/>
                <w:color w:val="943634"/>
                <w:sz w:val="19"/>
                <w:szCs w:val="19"/>
                <w:lang w:val="hu-HU"/>
              </w:rPr>
              <w:t xml:space="preserve">, </w:t>
            </w:r>
            <w:r w:rsidR="00BF7CAD" w:rsidRPr="00F1231E">
              <w:rPr>
                <w:rFonts w:ascii="Verdana" w:eastAsia="MS Mincho" w:hAnsi="Verdana" w:cs="Times New Roman"/>
                <w:b w:val="0"/>
                <w:iCs/>
                <w:color w:val="943634"/>
                <w:sz w:val="19"/>
                <w:szCs w:val="19"/>
                <w:lang w:val="hu-HU"/>
              </w:rPr>
              <w:t xml:space="preserve">ŠKORJANEC </w:t>
            </w:r>
            <w:r>
              <w:rPr>
                <w:rFonts w:ascii="Verdana" w:eastAsia="MS Mincho" w:hAnsi="Verdana" w:cs="Times New Roman"/>
                <w:b w:val="0"/>
                <w:iCs/>
                <w:color w:val="943634"/>
                <w:sz w:val="19"/>
                <w:szCs w:val="19"/>
                <w:lang w:val="hu-HU"/>
              </w:rPr>
              <w:t>kontra HORVÁTORSZÁG</w:t>
            </w:r>
            <w:r w:rsidR="00BF7CAD" w:rsidRPr="00F1231E">
              <w:rPr>
                <w:rFonts w:ascii="Verdana" w:eastAsia="MS Mincho" w:hAnsi="Verdana" w:cs="Times New Roman"/>
                <w:b w:val="0"/>
                <w:color w:val="943634"/>
                <w:sz w:val="19"/>
                <w:szCs w:val="19"/>
                <w:lang w:val="hu-HU"/>
              </w:rPr>
              <w:t xml:space="preserve">, </w:t>
            </w:r>
            <w:r w:rsidR="00BF7CAD" w:rsidRPr="00F1231E">
              <w:rPr>
                <w:rFonts w:ascii="Verdana" w:eastAsia="MS Mincho" w:hAnsi="Verdana" w:cs="Times New Roman"/>
                <w:b w:val="0"/>
                <w:i/>
                <w:iCs/>
                <w:color w:val="943634"/>
                <w:sz w:val="19"/>
                <w:szCs w:val="19"/>
                <w:lang w:val="hu-HU"/>
              </w:rPr>
              <w:t>25536/14</w:t>
            </w:r>
            <w:r w:rsidRPr="00553464">
              <w:rPr>
                <w:rFonts w:ascii="Verdana" w:eastAsia="MS Mincho" w:hAnsi="Verdana" w:cs="Times New Roman"/>
                <w:b w:val="0"/>
                <w:iCs/>
                <w:color w:val="943634"/>
                <w:sz w:val="19"/>
                <w:szCs w:val="19"/>
                <w:lang w:val="hu-HU"/>
              </w:rPr>
              <w:t>sz. kérelem</w:t>
            </w:r>
            <w:r w:rsidR="00BF7CAD" w:rsidRPr="00F1231E">
              <w:rPr>
                <w:rFonts w:ascii="Verdana" w:eastAsia="MS Mincho" w:hAnsi="Verdana" w:cs="Times New Roman"/>
                <w:b w:val="0"/>
                <w:iCs/>
                <w:color w:val="943634"/>
                <w:sz w:val="19"/>
                <w:szCs w:val="19"/>
                <w:lang w:val="hu-HU"/>
              </w:rPr>
              <w:t>, 2017</w:t>
            </w:r>
            <w:r>
              <w:rPr>
                <w:rFonts w:ascii="Verdana" w:eastAsia="MS Mincho" w:hAnsi="Verdana" w:cs="Times New Roman"/>
                <w:b w:val="0"/>
                <w:iCs/>
                <w:color w:val="943634"/>
                <w:sz w:val="19"/>
                <w:szCs w:val="19"/>
                <w:lang w:val="hu-HU"/>
              </w:rPr>
              <w:t>. március 28-án kelt ítélet</w:t>
            </w:r>
            <w:r w:rsidR="007B5154">
              <w:rPr>
                <w:rFonts w:ascii="Verdana" w:eastAsia="MS Mincho" w:hAnsi="Verdana" w:cs="Times New Roman"/>
                <w:b w:val="0"/>
                <w:iCs/>
                <w:color w:val="943634"/>
                <w:sz w:val="19"/>
                <w:szCs w:val="19"/>
                <w:lang w:val="hu-HU"/>
              </w:rPr>
              <w:t xml:space="preserve"> (</w:t>
            </w:r>
            <w:hyperlink r:id="rId13" w:history="1">
              <w:r w:rsidR="00BF7CAD" w:rsidRPr="00F1231E">
                <w:rPr>
                  <w:rFonts w:ascii="Verdana" w:eastAsia="MS Mincho" w:hAnsi="Verdana" w:cs="Times New Roman"/>
                  <w:b w:val="0"/>
                  <w:iCs/>
                  <w:color w:val="0000FF" w:themeColor="hyperlink"/>
                  <w:sz w:val="19"/>
                  <w:szCs w:val="19"/>
                  <w:u w:val="single"/>
                  <w:lang w:val="hu-HU"/>
                </w:rPr>
                <w:t>link</w:t>
              </w:r>
            </w:hyperlink>
            <w:r w:rsidR="007B5154">
              <w:t>)</w:t>
            </w:r>
          </w:p>
          <w:p w:rsidR="00BF7CAD" w:rsidRPr="00F1231E" w:rsidRDefault="00BF7CAD" w:rsidP="00BF7CAD">
            <w:pPr>
              <w:contextualSpacing/>
              <w:jc w:val="both"/>
              <w:rPr>
                <w:rFonts w:ascii="Verdana" w:eastAsia="MS Mincho" w:hAnsi="Verdana" w:cs="Times New Roman"/>
                <w:iCs/>
                <w:color w:val="943634"/>
                <w:sz w:val="19"/>
                <w:szCs w:val="19"/>
                <w:lang w:val="hu-HU"/>
              </w:rPr>
            </w:pPr>
          </w:p>
          <w:p w:rsidR="00BF7CAD" w:rsidRPr="00F1231E" w:rsidRDefault="00BF7CAD" w:rsidP="00BF7CAD">
            <w:pPr>
              <w:contextualSpacing/>
              <w:jc w:val="both"/>
              <w:rPr>
                <w:rFonts w:ascii="Verdana" w:hAnsi="Verdana"/>
                <w:b w:val="0"/>
                <w:i/>
                <w:sz w:val="18"/>
                <w:szCs w:val="18"/>
                <w:lang w:val="hu-HU"/>
              </w:rPr>
            </w:pPr>
            <w:r w:rsidRPr="00F1231E">
              <w:rPr>
                <w:rFonts w:ascii="Verdana" w:hAnsi="Verdana"/>
                <w:b w:val="0"/>
                <w:i/>
                <w:sz w:val="18"/>
                <w:szCs w:val="18"/>
                <w:lang w:val="hu-HU"/>
              </w:rPr>
              <w:t xml:space="preserve">53. […] </w:t>
            </w:r>
            <w:r w:rsidR="00553464">
              <w:rPr>
                <w:rFonts w:ascii="Verdana" w:hAnsi="Verdana"/>
                <w:b w:val="0"/>
                <w:i/>
                <w:sz w:val="18"/>
                <w:szCs w:val="18"/>
                <w:lang w:val="hu-HU"/>
              </w:rPr>
              <w:t xml:space="preserve">a Bíróság ismételten hangsúlyozza, </w:t>
            </w:r>
            <w:r w:rsidR="00EB57B4">
              <w:rPr>
                <w:rFonts w:ascii="Verdana" w:hAnsi="Verdana"/>
                <w:b w:val="0"/>
                <w:i/>
                <w:sz w:val="18"/>
                <w:szCs w:val="18"/>
                <w:lang w:val="hu-HU"/>
              </w:rPr>
              <w:t xml:space="preserve">hogy a feltételezhetően rasszista indítékok által kiváltott erőszakos cselekmények kivizsgálásakor az állami hatóságok kötelesek minden tőlük elvárhatót megtenni annak érdekében, hogy meggyőződjenek róla, valóban szerepet játszottak-e az ügyben rasszista indítékok és hogy valamely személy etnikai származásán alapuló gyűlölet vagy előítélet szerepet játszott-e az eseményekben. </w:t>
            </w:r>
            <w:r w:rsidR="00EB57B4">
              <w:rPr>
                <w:rFonts w:ascii="Verdana" w:hAnsi="Verdana"/>
                <w:i/>
                <w:sz w:val="18"/>
                <w:szCs w:val="18"/>
                <w:lang w:val="hu-HU"/>
              </w:rPr>
              <w:t>A faji alapú erőszakot és brutalitást azonos módon kezelni a mindenféle rasszista felhangot nélkülöző ügyekkel egy</w:t>
            </w:r>
            <w:r w:rsidR="00CD641B">
              <w:rPr>
                <w:rFonts w:ascii="Verdana" w:hAnsi="Verdana"/>
                <w:i/>
                <w:sz w:val="18"/>
                <w:szCs w:val="18"/>
                <w:lang w:val="hu-HU"/>
              </w:rPr>
              <w:t>e</w:t>
            </w:r>
            <w:r w:rsidR="00EB57B4">
              <w:rPr>
                <w:rFonts w:ascii="Verdana" w:hAnsi="Verdana"/>
                <w:i/>
                <w:sz w:val="18"/>
                <w:szCs w:val="18"/>
                <w:lang w:val="hu-HU"/>
              </w:rPr>
              <w:t>nlő volna azzal, hogy szemet hunyunk az alapvető emberi jogokra külön</w:t>
            </w:r>
            <w:r w:rsidR="00CD641B">
              <w:rPr>
                <w:rFonts w:ascii="Verdana" w:hAnsi="Verdana"/>
                <w:i/>
                <w:sz w:val="18"/>
                <w:szCs w:val="18"/>
                <w:lang w:val="hu-HU"/>
              </w:rPr>
              <w:t>ö</w:t>
            </w:r>
            <w:r w:rsidR="00EB57B4">
              <w:rPr>
                <w:rFonts w:ascii="Verdana" w:hAnsi="Verdana"/>
                <w:i/>
                <w:sz w:val="18"/>
                <w:szCs w:val="18"/>
                <w:lang w:val="hu-HU"/>
              </w:rPr>
              <w:t xml:space="preserve">sen romboló hatású cselekmények sajátos jellege fölött. </w:t>
            </w:r>
            <w:r w:rsidR="00EB57B4">
              <w:rPr>
                <w:rFonts w:ascii="Verdana" w:hAnsi="Verdana"/>
                <w:b w:val="0"/>
                <w:i/>
                <w:sz w:val="18"/>
                <w:szCs w:val="18"/>
                <w:lang w:val="hu-HU"/>
              </w:rPr>
              <w:t>Az alapvetően különböző helyzetek egymáshoz képest eltérő módon való kezelésének elmulasztása olyan indokolatlan eljárási hibának minősülhet, amely összeegye</w:t>
            </w:r>
            <w:r w:rsidR="006262CC">
              <w:rPr>
                <w:rFonts w:ascii="Verdana" w:hAnsi="Verdana"/>
                <w:b w:val="0"/>
                <w:i/>
                <w:sz w:val="18"/>
                <w:szCs w:val="18"/>
                <w:lang w:val="hu-HU"/>
              </w:rPr>
              <w:t>z</w:t>
            </w:r>
            <w:r w:rsidR="00EB57B4">
              <w:rPr>
                <w:rFonts w:ascii="Verdana" w:hAnsi="Verdana"/>
                <w:b w:val="0"/>
                <w:i/>
                <w:sz w:val="18"/>
                <w:szCs w:val="18"/>
                <w:lang w:val="hu-HU"/>
              </w:rPr>
              <w:t xml:space="preserve">tethetetlen az Egyezmény 14. cikkével </w:t>
            </w:r>
            <w:r w:rsidRPr="00F1231E">
              <w:rPr>
                <w:rFonts w:ascii="Verdana" w:hAnsi="Verdana"/>
                <w:b w:val="0"/>
                <w:i/>
                <w:sz w:val="18"/>
                <w:szCs w:val="18"/>
                <w:lang w:val="hu-HU"/>
              </w:rPr>
              <w:t>(</w:t>
            </w:r>
            <w:r w:rsidR="00EB57B4">
              <w:rPr>
                <w:rFonts w:ascii="Verdana" w:hAnsi="Verdana"/>
                <w:b w:val="0"/>
                <w:i/>
                <w:sz w:val="18"/>
                <w:szCs w:val="18"/>
                <w:lang w:val="hu-HU"/>
              </w:rPr>
              <w:t>lásd</w:t>
            </w:r>
            <w:r w:rsidR="007B5154">
              <w:rPr>
                <w:rFonts w:ascii="Verdana" w:hAnsi="Verdana"/>
                <w:b w:val="0"/>
                <w:i/>
                <w:sz w:val="18"/>
                <w:szCs w:val="18"/>
                <w:lang w:val="hu-HU"/>
              </w:rPr>
              <w:t xml:space="preserve"> </w:t>
            </w:r>
            <w:proofErr w:type="spellStart"/>
            <w:r w:rsidRPr="00F1231E">
              <w:rPr>
                <w:rFonts w:ascii="Verdana" w:hAnsi="Verdana"/>
                <w:b w:val="0"/>
                <w:i/>
                <w:sz w:val="18"/>
                <w:szCs w:val="18"/>
                <w:lang w:val="hu-HU"/>
              </w:rPr>
              <w:t>Abdu</w:t>
            </w:r>
            <w:proofErr w:type="spellEnd"/>
            <w:r w:rsidRPr="00F1231E">
              <w:rPr>
                <w:rFonts w:ascii="Verdana" w:hAnsi="Verdana"/>
                <w:b w:val="0"/>
                <w:i/>
                <w:sz w:val="18"/>
                <w:szCs w:val="18"/>
                <w:lang w:val="hu-HU"/>
              </w:rPr>
              <w:t xml:space="preserve">, </w:t>
            </w:r>
            <w:r w:rsidR="00EB57B4">
              <w:rPr>
                <w:rFonts w:ascii="Verdana" w:hAnsi="Verdana"/>
                <w:b w:val="0"/>
                <w:i/>
                <w:sz w:val="18"/>
                <w:szCs w:val="18"/>
                <w:lang w:val="hu-HU"/>
              </w:rPr>
              <w:t>mint fent</w:t>
            </w:r>
            <w:r w:rsidRPr="00F1231E">
              <w:rPr>
                <w:rFonts w:ascii="Verdana" w:hAnsi="Verdana"/>
                <w:b w:val="0"/>
                <w:i/>
                <w:sz w:val="18"/>
                <w:szCs w:val="18"/>
                <w:lang w:val="hu-HU"/>
              </w:rPr>
              <w:t>, 44</w:t>
            </w:r>
            <w:r w:rsidR="00EB57B4">
              <w:rPr>
                <w:rFonts w:ascii="Verdana" w:hAnsi="Verdana"/>
                <w:b w:val="0"/>
                <w:i/>
                <w:sz w:val="18"/>
                <w:szCs w:val="18"/>
                <w:lang w:val="hu-HU"/>
              </w:rPr>
              <w:t>. bekezdés</w:t>
            </w:r>
            <w:r w:rsidRPr="00F1231E">
              <w:rPr>
                <w:rFonts w:ascii="Verdana" w:hAnsi="Verdana"/>
                <w:b w:val="0"/>
                <w:i/>
                <w:sz w:val="18"/>
                <w:szCs w:val="18"/>
                <w:lang w:val="hu-HU"/>
              </w:rPr>
              <w:t>).</w:t>
            </w:r>
          </w:p>
          <w:p w:rsidR="00BF7CAD" w:rsidRPr="00F1231E" w:rsidRDefault="00BF7CAD" w:rsidP="00BF7CAD">
            <w:pPr>
              <w:contextualSpacing/>
              <w:jc w:val="both"/>
              <w:rPr>
                <w:rFonts w:ascii="Verdana" w:hAnsi="Verdana"/>
                <w:b w:val="0"/>
                <w:i/>
                <w:sz w:val="18"/>
                <w:szCs w:val="18"/>
                <w:lang w:val="hu-HU"/>
              </w:rPr>
            </w:pPr>
          </w:p>
          <w:p w:rsidR="00BF7CAD" w:rsidRPr="00F1231E" w:rsidRDefault="00BF7CAD" w:rsidP="00BF7CAD">
            <w:pPr>
              <w:contextualSpacing/>
              <w:jc w:val="both"/>
              <w:rPr>
                <w:rFonts w:ascii="Verdana" w:hAnsi="Verdana"/>
                <w:sz w:val="18"/>
                <w:szCs w:val="18"/>
                <w:lang w:val="hu-HU"/>
              </w:rPr>
            </w:pPr>
          </w:p>
        </w:tc>
      </w:tr>
    </w:tbl>
    <w:p w:rsidR="00BF7CAD" w:rsidRPr="00F1231E" w:rsidRDefault="00BF7CAD" w:rsidP="00BF7CAD">
      <w:pPr>
        <w:jc w:val="both"/>
        <w:rPr>
          <w:rFonts w:ascii="Times New Roman" w:hAnsi="Times New Roman" w:cs="Times New Roman"/>
          <w:iCs/>
          <w:szCs w:val="24"/>
        </w:rPr>
      </w:pPr>
    </w:p>
    <w:p w:rsidR="00BF7CAD" w:rsidRPr="00F1231E" w:rsidRDefault="00EB57B4" w:rsidP="00A36883">
      <w:pPr>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Jelen fejezet értelmezésében a gyűlölet-bűncselekmények hatásainak két </w:t>
      </w:r>
      <w:r w:rsidR="008656F4">
        <w:rPr>
          <w:rFonts w:ascii="Times New Roman" w:hAnsi="Times New Roman" w:cs="Times New Roman"/>
          <w:iCs/>
          <w:sz w:val="24"/>
          <w:szCs w:val="24"/>
        </w:rPr>
        <w:t xml:space="preserve">szintjét különböztetjük meg: az egyénre/csoportra gyakorolt hatásokat és a társadalom egészére gyakorolt hatásokat. </w:t>
      </w:r>
    </w:p>
    <w:p w:rsidR="00146D72" w:rsidRPr="00BF7CAD" w:rsidRDefault="00146D72" w:rsidP="00BF7CAD">
      <w:pPr>
        <w:jc w:val="both"/>
        <w:rPr>
          <w:rFonts w:ascii="Times New Roman" w:hAnsi="Times New Roman" w:cs="Times New Roman"/>
          <w:iCs/>
          <w:szCs w:val="24"/>
          <w:lang w:val="en-US"/>
        </w:rPr>
      </w:pPr>
    </w:p>
    <w:p w:rsidR="00BF7CAD" w:rsidRPr="006262CC" w:rsidRDefault="004B3ECB" w:rsidP="004B3ECB">
      <w:pPr>
        <w:pStyle w:val="Cmsor2"/>
        <w:rPr>
          <w:lang w:eastAsia="en-US"/>
        </w:rPr>
      </w:pPr>
      <w:bookmarkStart w:id="6" w:name="_Toc515458775"/>
      <w:r w:rsidRPr="006262CC">
        <w:rPr>
          <w:lang w:eastAsia="en-US"/>
        </w:rPr>
        <w:t>2</w:t>
      </w:r>
      <w:r w:rsidR="00BF7CAD" w:rsidRPr="006262CC">
        <w:rPr>
          <w:lang w:eastAsia="en-US"/>
        </w:rPr>
        <w:t xml:space="preserve">.1 </w:t>
      </w:r>
      <w:r w:rsidR="006262CC">
        <w:rPr>
          <w:lang w:eastAsia="en-US"/>
        </w:rPr>
        <w:t>A</w:t>
      </w:r>
      <w:r w:rsidR="008656F4" w:rsidRPr="006262CC">
        <w:rPr>
          <w:lang w:eastAsia="en-US"/>
        </w:rPr>
        <w:t xml:space="preserve">z </w:t>
      </w:r>
      <w:proofErr w:type="gramStart"/>
      <w:r w:rsidR="008656F4" w:rsidRPr="006262CC">
        <w:rPr>
          <w:lang w:eastAsia="en-US"/>
        </w:rPr>
        <w:t>áldozat(</w:t>
      </w:r>
      <w:proofErr w:type="gramEnd"/>
      <w:r w:rsidR="008656F4" w:rsidRPr="006262CC">
        <w:rPr>
          <w:lang w:eastAsia="en-US"/>
        </w:rPr>
        <w:t>ok)</w:t>
      </w:r>
      <w:proofErr w:type="spellStart"/>
      <w:r w:rsidR="008656F4" w:rsidRPr="006262CC">
        <w:rPr>
          <w:lang w:eastAsia="en-US"/>
        </w:rPr>
        <w:t>ra</w:t>
      </w:r>
      <w:proofErr w:type="spellEnd"/>
      <w:r w:rsidR="008656F4" w:rsidRPr="006262CC">
        <w:rPr>
          <w:lang w:eastAsia="en-US"/>
        </w:rPr>
        <w:t xml:space="preserve"> gyakorolt hatások</w:t>
      </w:r>
      <w:bookmarkEnd w:id="6"/>
    </w:p>
    <w:p w:rsidR="001B0532" w:rsidRPr="006262CC" w:rsidRDefault="001B0532" w:rsidP="00BF7CAD">
      <w:pPr>
        <w:jc w:val="both"/>
        <w:rPr>
          <w:rFonts w:ascii="Times New Roman" w:hAnsi="Times New Roman" w:cs="Times New Roman"/>
          <w:iCs/>
          <w:szCs w:val="24"/>
        </w:rPr>
      </w:pPr>
    </w:p>
    <w:p w:rsidR="008656F4" w:rsidRPr="006262CC" w:rsidRDefault="008656F4" w:rsidP="00BF7CAD">
      <w:pPr>
        <w:jc w:val="both"/>
        <w:rPr>
          <w:rFonts w:ascii="Times New Roman" w:hAnsi="Times New Roman" w:cs="Times New Roman"/>
          <w:iCs/>
          <w:sz w:val="24"/>
          <w:szCs w:val="24"/>
        </w:rPr>
      </w:pPr>
      <w:r w:rsidRPr="006262CC">
        <w:rPr>
          <w:rFonts w:ascii="Times New Roman" w:hAnsi="Times New Roman" w:cs="Times New Roman"/>
          <w:iCs/>
          <w:sz w:val="24"/>
          <w:szCs w:val="24"/>
        </w:rPr>
        <w:t>Ahogyan azt már érintettük, a gyűlölet-bűncselekmények hatásai sokkal mélyebbek, mint a</w:t>
      </w:r>
      <w:r w:rsidR="007B5154">
        <w:rPr>
          <w:rFonts w:ascii="Times New Roman" w:hAnsi="Times New Roman" w:cs="Times New Roman"/>
          <w:iCs/>
          <w:sz w:val="24"/>
          <w:szCs w:val="24"/>
        </w:rPr>
        <w:t>z egyéb</w:t>
      </w:r>
      <w:r w:rsidRPr="006262CC">
        <w:rPr>
          <w:rFonts w:ascii="Times New Roman" w:hAnsi="Times New Roman" w:cs="Times New Roman"/>
          <w:iCs/>
          <w:sz w:val="24"/>
          <w:szCs w:val="24"/>
        </w:rPr>
        <w:t xml:space="preserve"> bűncselekményekéi. Az áldozat vagy áldozatok </w:t>
      </w:r>
      <w:proofErr w:type="gramStart"/>
      <w:r w:rsidRPr="006262CC">
        <w:rPr>
          <w:rFonts w:ascii="Times New Roman" w:hAnsi="Times New Roman" w:cs="Times New Roman"/>
          <w:iCs/>
          <w:sz w:val="24"/>
          <w:szCs w:val="24"/>
        </w:rPr>
        <w:t>amiatt</w:t>
      </w:r>
      <w:proofErr w:type="gramEnd"/>
      <w:r w:rsidRPr="006262CC">
        <w:rPr>
          <w:rFonts w:ascii="Times New Roman" w:hAnsi="Times New Roman" w:cs="Times New Roman"/>
          <w:iCs/>
          <w:sz w:val="24"/>
          <w:szCs w:val="24"/>
        </w:rPr>
        <w:t xml:space="preserve"> kerülnek célkeresztbe, ahogyan az elkövető(k) észlelik őket. Hogy ez az észlelés valós vagy vélt</w:t>
      </w:r>
      <w:r w:rsidR="007B5154">
        <w:rPr>
          <w:rFonts w:ascii="Times New Roman" w:hAnsi="Times New Roman" w:cs="Times New Roman"/>
          <w:iCs/>
          <w:sz w:val="24"/>
          <w:szCs w:val="24"/>
        </w:rPr>
        <w:t xml:space="preserve"> alapokon nyugszik</w:t>
      </w:r>
      <w:r w:rsidRPr="006262CC">
        <w:rPr>
          <w:rFonts w:ascii="Times New Roman" w:hAnsi="Times New Roman" w:cs="Times New Roman"/>
          <w:iCs/>
          <w:sz w:val="24"/>
          <w:szCs w:val="24"/>
        </w:rPr>
        <w:t xml:space="preserve">, az illető személyeket egy adott társadalmi csoport </w:t>
      </w:r>
      <w:r w:rsidR="007B5154">
        <w:rPr>
          <w:rFonts w:ascii="Times New Roman" w:hAnsi="Times New Roman" w:cs="Times New Roman"/>
          <w:iCs/>
          <w:sz w:val="24"/>
          <w:szCs w:val="24"/>
        </w:rPr>
        <w:t>tagjává</w:t>
      </w:r>
      <w:r w:rsidR="007B5154" w:rsidRPr="006262CC">
        <w:rPr>
          <w:rFonts w:ascii="Times New Roman" w:hAnsi="Times New Roman" w:cs="Times New Roman"/>
          <w:iCs/>
          <w:sz w:val="24"/>
          <w:szCs w:val="24"/>
        </w:rPr>
        <w:t xml:space="preserve"> </w:t>
      </w:r>
      <w:r w:rsidR="007B5154">
        <w:rPr>
          <w:rFonts w:ascii="Times New Roman" w:hAnsi="Times New Roman" w:cs="Times New Roman"/>
          <w:iCs/>
          <w:sz w:val="24"/>
          <w:szCs w:val="24"/>
        </w:rPr>
        <w:t xml:space="preserve">ténylegesen </w:t>
      </w:r>
      <w:r w:rsidRPr="006262CC">
        <w:rPr>
          <w:rFonts w:ascii="Times New Roman" w:hAnsi="Times New Roman" w:cs="Times New Roman"/>
          <w:iCs/>
          <w:sz w:val="24"/>
          <w:szCs w:val="24"/>
        </w:rPr>
        <w:t>tevő tulaj</w:t>
      </w:r>
      <w:r w:rsidR="006262CC">
        <w:rPr>
          <w:rFonts w:ascii="Times New Roman" w:hAnsi="Times New Roman" w:cs="Times New Roman"/>
          <w:iCs/>
          <w:sz w:val="24"/>
          <w:szCs w:val="24"/>
        </w:rPr>
        <w:t>d</w:t>
      </w:r>
      <w:r w:rsidRPr="006262CC">
        <w:rPr>
          <w:rFonts w:ascii="Times New Roman" w:hAnsi="Times New Roman" w:cs="Times New Roman"/>
          <w:iCs/>
          <w:sz w:val="24"/>
          <w:szCs w:val="24"/>
        </w:rPr>
        <w:t>onságok eredménye-e, az nem számít. Nem szabad elfelejteni, hogy a vétség mögött meghúzódó indíték az adott csoportról alkotott rendkívül sztereot</w:t>
      </w:r>
      <w:r w:rsidR="00CD641B">
        <w:rPr>
          <w:rFonts w:ascii="Times New Roman" w:hAnsi="Times New Roman" w:cs="Times New Roman"/>
          <w:iCs/>
          <w:sz w:val="24"/>
          <w:szCs w:val="24"/>
        </w:rPr>
        <w:t>i</w:t>
      </w:r>
      <w:r w:rsidRPr="006262CC">
        <w:rPr>
          <w:rFonts w:ascii="Times New Roman" w:hAnsi="Times New Roman" w:cs="Times New Roman"/>
          <w:iCs/>
          <w:sz w:val="24"/>
          <w:szCs w:val="24"/>
        </w:rPr>
        <w:t>p és negatív képen alapul, és hogy a bűncselekmény célja nyilvánvalóan az, hogy azt üzenje, azok az egyének, akik</w:t>
      </w:r>
      <w:r w:rsidR="007B5154">
        <w:rPr>
          <w:rFonts w:ascii="Times New Roman" w:hAnsi="Times New Roman" w:cs="Times New Roman"/>
          <w:iCs/>
          <w:sz w:val="24"/>
          <w:szCs w:val="24"/>
        </w:rPr>
        <w:t>et</w:t>
      </w:r>
      <w:r w:rsidRPr="006262CC">
        <w:rPr>
          <w:rFonts w:ascii="Times New Roman" w:hAnsi="Times New Roman" w:cs="Times New Roman"/>
          <w:iCs/>
          <w:sz w:val="24"/>
          <w:szCs w:val="24"/>
        </w:rPr>
        <w:t xml:space="preserve"> az adott csoporthoz tartozó</w:t>
      </w:r>
      <w:r w:rsidR="007B5154">
        <w:rPr>
          <w:rFonts w:ascii="Times New Roman" w:hAnsi="Times New Roman" w:cs="Times New Roman"/>
          <w:iCs/>
          <w:sz w:val="24"/>
          <w:szCs w:val="24"/>
        </w:rPr>
        <w:t>nak vélnek</w:t>
      </w:r>
      <w:r w:rsidRPr="006262CC">
        <w:rPr>
          <w:rFonts w:ascii="Times New Roman" w:hAnsi="Times New Roman" w:cs="Times New Roman"/>
          <w:iCs/>
          <w:sz w:val="24"/>
          <w:szCs w:val="24"/>
        </w:rPr>
        <w:t>, nem kívánatosak a társadalomban.</w:t>
      </w:r>
    </w:p>
    <w:p w:rsidR="00BF7CAD" w:rsidRPr="006262CC" w:rsidRDefault="008656F4" w:rsidP="006262CC">
      <w:pPr>
        <w:ind w:firstLine="720"/>
        <w:jc w:val="both"/>
        <w:rPr>
          <w:rFonts w:ascii="Times New Roman" w:hAnsi="Times New Roman" w:cs="Times New Roman"/>
          <w:iCs/>
          <w:sz w:val="24"/>
          <w:szCs w:val="24"/>
        </w:rPr>
      </w:pPr>
      <w:r w:rsidRPr="006262CC">
        <w:rPr>
          <w:rFonts w:ascii="Times New Roman" w:hAnsi="Times New Roman" w:cs="Times New Roman"/>
          <w:iCs/>
          <w:sz w:val="24"/>
          <w:szCs w:val="24"/>
        </w:rPr>
        <w:t>Más szóval</w:t>
      </w:r>
      <w:r w:rsidR="007B5154">
        <w:rPr>
          <w:rFonts w:ascii="Times New Roman" w:hAnsi="Times New Roman" w:cs="Times New Roman"/>
          <w:iCs/>
          <w:sz w:val="24"/>
          <w:szCs w:val="24"/>
        </w:rPr>
        <w:t>,</w:t>
      </w:r>
      <w:r w:rsidRPr="006262CC">
        <w:rPr>
          <w:rFonts w:ascii="Times New Roman" w:hAnsi="Times New Roman" w:cs="Times New Roman"/>
          <w:iCs/>
          <w:sz w:val="24"/>
          <w:szCs w:val="24"/>
        </w:rPr>
        <w:t xml:space="preserve"> nem azért kerülnek célkeresztbe, mert valamit elkövettek</w:t>
      </w:r>
      <w:r w:rsidR="007B5154">
        <w:rPr>
          <w:rFonts w:ascii="Times New Roman" w:hAnsi="Times New Roman" w:cs="Times New Roman"/>
          <w:iCs/>
          <w:sz w:val="24"/>
          <w:szCs w:val="24"/>
        </w:rPr>
        <w:t>,</w:t>
      </w:r>
      <w:r w:rsidRPr="006262CC">
        <w:rPr>
          <w:rFonts w:ascii="Times New Roman" w:hAnsi="Times New Roman" w:cs="Times New Roman"/>
          <w:iCs/>
          <w:sz w:val="24"/>
          <w:szCs w:val="24"/>
        </w:rPr>
        <w:t xml:space="preserve"> és így azt, elméletileg, helyre tudnák hozni, hanem azért, a</w:t>
      </w:r>
      <w:r w:rsidR="005334FC">
        <w:rPr>
          <w:rFonts w:ascii="Times New Roman" w:hAnsi="Times New Roman" w:cs="Times New Roman"/>
          <w:iCs/>
          <w:sz w:val="24"/>
          <w:szCs w:val="24"/>
        </w:rPr>
        <w:t>hogyan</w:t>
      </w:r>
      <w:r w:rsidRPr="006262CC">
        <w:rPr>
          <w:rFonts w:ascii="Times New Roman" w:hAnsi="Times New Roman" w:cs="Times New Roman"/>
          <w:iCs/>
          <w:sz w:val="24"/>
          <w:szCs w:val="24"/>
        </w:rPr>
        <w:t xml:space="preserve"> a külső szemlélők észlelik őket: magának az identitás</w:t>
      </w:r>
      <w:r w:rsidR="005334FC">
        <w:rPr>
          <w:rFonts w:ascii="Times New Roman" w:hAnsi="Times New Roman" w:cs="Times New Roman"/>
          <w:iCs/>
          <w:sz w:val="24"/>
          <w:szCs w:val="24"/>
        </w:rPr>
        <w:t>u</w:t>
      </w:r>
      <w:r w:rsidRPr="006262CC">
        <w:rPr>
          <w:rFonts w:ascii="Times New Roman" w:hAnsi="Times New Roman" w:cs="Times New Roman"/>
          <w:iCs/>
          <w:sz w:val="24"/>
          <w:szCs w:val="24"/>
        </w:rPr>
        <w:t>knak az alapján</w:t>
      </w:r>
      <w:r w:rsidR="005334FC">
        <w:rPr>
          <w:rFonts w:ascii="Times New Roman" w:hAnsi="Times New Roman" w:cs="Times New Roman"/>
          <w:iCs/>
          <w:sz w:val="24"/>
          <w:szCs w:val="24"/>
        </w:rPr>
        <w:t>,</w:t>
      </w:r>
      <w:r w:rsidR="007B5154">
        <w:rPr>
          <w:rFonts w:ascii="Times New Roman" w:hAnsi="Times New Roman" w:cs="Times New Roman"/>
          <w:iCs/>
          <w:sz w:val="24"/>
          <w:szCs w:val="24"/>
        </w:rPr>
        <w:t xml:space="preserve"> </w:t>
      </w:r>
      <w:r w:rsidR="005334FC">
        <w:rPr>
          <w:rFonts w:ascii="Times New Roman" w:hAnsi="Times New Roman" w:cs="Times New Roman"/>
          <w:iCs/>
          <w:sz w:val="24"/>
          <w:szCs w:val="24"/>
        </w:rPr>
        <w:t>tehát</w:t>
      </w:r>
      <w:r w:rsidRPr="006262CC">
        <w:rPr>
          <w:rFonts w:ascii="Times New Roman" w:hAnsi="Times New Roman" w:cs="Times New Roman"/>
          <w:iCs/>
          <w:sz w:val="24"/>
          <w:szCs w:val="24"/>
        </w:rPr>
        <w:t xml:space="preserve"> egy szorosan hozzájuk tartozó és </w:t>
      </w:r>
      <w:r w:rsidRPr="006262CC">
        <w:rPr>
          <w:rFonts w:ascii="Times New Roman" w:hAnsi="Times New Roman" w:cs="Times New Roman"/>
          <w:iCs/>
          <w:sz w:val="24"/>
          <w:szCs w:val="24"/>
        </w:rPr>
        <w:lastRenderedPageBreak/>
        <w:t>megváltoztathata</w:t>
      </w:r>
      <w:r w:rsidR="006262CC">
        <w:rPr>
          <w:rFonts w:ascii="Times New Roman" w:hAnsi="Times New Roman" w:cs="Times New Roman"/>
          <w:iCs/>
          <w:sz w:val="24"/>
          <w:szCs w:val="24"/>
        </w:rPr>
        <w:t>t</w:t>
      </w:r>
      <w:r w:rsidRPr="006262CC">
        <w:rPr>
          <w:rFonts w:ascii="Times New Roman" w:hAnsi="Times New Roman" w:cs="Times New Roman"/>
          <w:iCs/>
          <w:sz w:val="24"/>
          <w:szCs w:val="24"/>
        </w:rPr>
        <w:t>lan tulajd</w:t>
      </w:r>
      <w:r w:rsidR="006262CC">
        <w:rPr>
          <w:rFonts w:ascii="Times New Roman" w:hAnsi="Times New Roman" w:cs="Times New Roman"/>
          <w:iCs/>
          <w:sz w:val="24"/>
          <w:szCs w:val="24"/>
        </w:rPr>
        <w:t>o</w:t>
      </w:r>
      <w:r w:rsidRPr="006262CC">
        <w:rPr>
          <w:rFonts w:ascii="Times New Roman" w:hAnsi="Times New Roman" w:cs="Times New Roman"/>
          <w:iCs/>
          <w:sz w:val="24"/>
          <w:szCs w:val="24"/>
        </w:rPr>
        <w:t xml:space="preserve">nságuk </w:t>
      </w:r>
      <w:r w:rsidR="005334FC">
        <w:rPr>
          <w:rFonts w:ascii="Times New Roman" w:hAnsi="Times New Roman" w:cs="Times New Roman"/>
          <w:iCs/>
          <w:sz w:val="24"/>
          <w:szCs w:val="24"/>
        </w:rPr>
        <w:t>miatt</w:t>
      </w:r>
      <w:r w:rsidRPr="006262CC">
        <w:rPr>
          <w:rFonts w:ascii="Times New Roman" w:hAnsi="Times New Roman" w:cs="Times New Roman"/>
          <w:iCs/>
          <w:sz w:val="24"/>
          <w:szCs w:val="24"/>
        </w:rPr>
        <w:t xml:space="preserve">, amely </w:t>
      </w:r>
      <w:r w:rsidR="007B5154">
        <w:rPr>
          <w:rFonts w:ascii="Times New Roman" w:hAnsi="Times New Roman" w:cs="Times New Roman"/>
          <w:iCs/>
          <w:sz w:val="24"/>
          <w:szCs w:val="24"/>
        </w:rPr>
        <w:t xml:space="preserve">adott esetben </w:t>
      </w:r>
      <w:r w:rsidRPr="006262CC">
        <w:rPr>
          <w:rFonts w:ascii="Times New Roman" w:hAnsi="Times New Roman" w:cs="Times New Roman"/>
          <w:iCs/>
          <w:sz w:val="24"/>
          <w:szCs w:val="24"/>
        </w:rPr>
        <w:t>a valahová tar</w:t>
      </w:r>
      <w:r w:rsidR="006262CC">
        <w:rPr>
          <w:rFonts w:ascii="Times New Roman" w:hAnsi="Times New Roman" w:cs="Times New Roman"/>
          <w:iCs/>
          <w:sz w:val="24"/>
          <w:szCs w:val="24"/>
        </w:rPr>
        <w:t>t</w:t>
      </w:r>
      <w:r w:rsidRPr="006262CC">
        <w:rPr>
          <w:rFonts w:ascii="Times New Roman" w:hAnsi="Times New Roman" w:cs="Times New Roman"/>
          <w:iCs/>
          <w:sz w:val="24"/>
          <w:szCs w:val="24"/>
        </w:rPr>
        <w:t>ozás érzését</w:t>
      </w:r>
      <w:r w:rsidR="005334FC">
        <w:rPr>
          <w:rFonts w:ascii="Times New Roman" w:hAnsi="Times New Roman" w:cs="Times New Roman"/>
          <w:iCs/>
          <w:sz w:val="24"/>
          <w:szCs w:val="24"/>
        </w:rPr>
        <w:t xml:space="preserve">, és </w:t>
      </w:r>
      <w:r w:rsidRPr="006262CC">
        <w:rPr>
          <w:rFonts w:ascii="Times New Roman" w:hAnsi="Times New Roman" w:cs="Times New Roman"/>
          <w:iCs/>
          <w:sz w:val="24"/>
          <w:szCs w:val="24"/>
        </w:rPr>
        <w:t>ami még ennél is fontosabb</w:t>
      </w:r>
      <w:r w:rsidR="005334FC">
        <w:rPr>
          <w:rFonts w:ascii="Times New Roman" w:hAnsi="Times New Roman" w:cs="Times New Roman"/>
          <w:iCs/>
          <w:sz w:val="24"/>
          <w:szCs w:val="24"/>
        </w:rPr>
        <w:t>,</w:t>
      </w:r>
      <w:r w:rsidRPr="006262CC">
        <w:rPr>
          <w:rFonts w:ascii="Times New Roman" w:hAnsi="Times New Roman" w:cs="Times New Roman"/>
          <w:iCs/>
          <w:sz w:val="24"/>
          <w:szCs w:val="24"/>
        </w:rPr>
        <w:t xml:space="preserve"> az önazonosság érzését</w:t>
      </w:r>
      <w:r w:rsidR="007B5154">
        <w:rPr>
          <w:rFonts w:ascii="Times New Roman" w:hAnsi="Times New Roman" w:cs="Times New Roman"/>
          <w:iCs/>
          <w:sz w:val="24"/>
          <w:szCs w:val="24"/>
        </w:rPr>
        <w:t xml:space="preserve"> </w:t>
      </w:r>
      <w:r w:rsidR="005334FC">
        <w:rPr>
          <w:rFonts w:ascii="Times New Roman" w:hAnsi="Times New Roman" w:cs="Times New Roman"/>
          <w:iCs/>
          <w:sz w:val="24"/>
          <w:szCs w:val="24"/>
        </w:rPr>
        <w:t xml:space="preserve">adja </w:t>
      </w:r>
      <w:r w:rsidR="005334FC" w:rsidRPr="006262CC">
        <w:rPr>
          <w:rFonts w:ascii="Times New Roman" w:hAnsi="Times New Roman" w:cs="Times New Roman"/>
          <w:iCs/>
          <w:sz w:val="24"/>
          <w:szCs w:val="24"/>
        </w:rPr>
        <w:t>számukra</w:t>
      </w:r>
      <w:r w:rsidRPr="006262CC">
        <w:rPr>
          <w:rFonts w:ascii="Times New Roman" w:hAnsi="Times New Roman" w:cs="Times New Roman"/>
          <w:iCs/>
          <w:sz w:val="24"/>
          <w:szCs w:val="24"/>
        </w:rPr>
        <w:t>. Ennek következtében a gyűlölet-bűncs</w:t>
      </w:r>
      <w:r w:rsidR="006262CC">
        <w:rPr>
          <w:rFonts w:ascii="Times New Roman" w:hAnsi="Times New Roman" w:cs="Times New Roman"/>
          <w:iCs/>
          <w:sz w:val="24"/>
          <w:szCs w:val="24"/>
        </w:rPr>
        <w:t>e</w:t>
      </w:r>
      <w:r w:rsidRPr="006262CC">
        <w:rPr>
          <w:rFonts w:ascii="Times New Roman" w:hAnsi="Times New Roman" w:cs="Times New Roman"/>
          <w:iCs/>
          <w:sz w:val="24"/>
          <w:szCs w:val="24"/>
        </w:rPr>
        <w:t>lekményeknek sokkal mélyebb pszichológiai hatásuk van az áldozat magánéletére</w:t>
      </w:r>
      <w:r w:rsidR="007B5154">
        <w:rPr>
          <w:rFonts w:ascii="Times New Roman" w:hAnsi="Times New Roman" w:cs="Times New Roman"/>
          <w:iCs/>
          <w:sz w:val="24"/>
          <w:szCs w:val="24"/>
        </w:rPr>
        <w:t>,</w:t>
      </w:r>
      <w:r w:rsidR="006262CC" w:rsidRPr="006262CC">
        <w:rPr>
          <w:rFonts w:ascii="Times New Roman" w:hAnsi="Times New Roman" w:cs="Times New Roman"/>
          <w:iCs/>
          <w:sz w:val="24"/>
          <w:szCs w:val="24"/>
        </w:rPr>
        <w:t xml:space="preserve"> és kelthetnek </w:t>
      </w:r>
      <w:r w:rsidR="005334FC">
        <w:rPr>
          <w:rFonts w:ascii="Times New Roman" w:hAnsi="Times New Roman" w:cs="Times New Roman"/>
          <w:iCs/>
          <w:sz w:val="24"/>
          <w:szCs w:val="24"/>
        </w:rPr>
        <w:t xml:space="preserve">bennük </w:t>
      </w:r>
      <w:r w:rsidR="006262CC" w:rsidRPr="006262CC">
        <w:rPr>
          <w:rFonts w:ascii="Times New Roman" w:hAnsi="Times New Roman" w:cs="Times New Roman"/>
          <w:iCs/>
          <w:sz w:val="24"/>
          <w:szCs w:val="24"/>
        </w:rPr>
        <w:t>többek között a fizikai épségükért való aggodalmat, szorongást és depressziót.</w:t>
      </w:r>
      <w:r w:rsidR="00BF7CAD" w:rsidRPr="006262CC">
        <w:rPr>
          <w:rFonts w:ascii="Times New Roman" w:hAnsi="Times New Roman" w:cs="Times New Roman"/>
          <w:iCs/>
          <w:sz w:val="24"/>
          <w:szCs w:val="24"/>
          <w:vertAlign w:val="superscript"/>
        </w:rPr>
        <w:footnoteReference w:id="22"/>
      </w:r>
      <w:r w:rsidR="007B5154">
        <w:rPr>
          <w:rFonts w:ascii="Times New Roman" w:hAnsi="Times New Roman" w:cs="Times New Roman"/>
          <w:iCs/>
          <w:sz w:val="24"/>
          <w:szCs w:val="24"/>
        </w:rPr>
        <w:t xml:space="preserve"> </w:t>
      </w:r>
      <w:r w:rsidR="006262CC">
        <w:rPr>
          <w:rFonts w:ascii="Times New Roman" w:hAnsi="Times New Roman" w:cs="Times New Roman"/>
          <w:iCs/>
          <w:sz w:val="24"/>
          <w:szCs w:val="24"/>
        </w:rPr>
        <w:t>Ez az egyik fő oka annak is, hogy sok gyűlölet-bűncselekményt nem jelentenek a rendőrségen szerte az Európai Unióban, mert az áldozatok gyakran úgy érzik, hogy lelkileg képtelenek megtenni a feljelentést.</w:t>
      </w:r>
      <w:r w:rsidR="00BF7CAD" w:rsidRPr="006262CC">
        <w:rPr>
          <w:rFonts w:ascii="Times New Roman" w:hAnsi="Times New Roman" w:cs="Times New Roman"/>
          <w:iCs/>
          <w:sz w:val="24"/>
          <w:szCs w:val="24"/>
          <w:vertAlign w:val="superscript"/>
        </w:rPr>
        <w:footnoteReference w:id="23"/>
      </w:r>
    </w:p>
    <w:p w:rsidR="00BF7CAD" w:rsidRPr="006262CC" w:rsidRDefault="006262CC" w:rsidP="00BD2A7A">
      <w:pPr>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Ugyanezen okok miatt a tényleges </w:t>
      </w:r>
      <w:proofErr w:type="gramStart"/>
      <w:r>
        <w:rPr>
          <w:rFonts w:ascii="Times New Roman" w:hAnsi="Times New Roman" w:cs="Times New Roman"/>
          <w:iCs/>
          <w:sz w:val="24"/>
          <w:szCs w:val="24"/>
        </w:rPr>
        <w:t>áldozat(</w:t>
      </w:r>
      <w:proofErr w:type="gramEnd"/>
      <w:r>
        <w:rPr>
          <w:rFonts w:ascii="Times New Roman" w:hAnsi="Times New Roman" w:cs="Times New Roman"/>
          <w:iCs/>
          <w:sz w:val="24"/>
          <w:szCs w:val="24"/>
        </w:rPr>
        <w:t>ok) nem az egyetlen célcsoportja a cselekménynek. A bűncselekménynek számos negatív hatása van a bűncselekmény</w:t>
      </w:r>
      <w:r w:rsidR="006C5E78">
        <w:rPr>
          <w:rFonts w:ascii="Times New Roman" w:hAnsi="Times New Roman" w:cs="Times New Roman"/>
          <w:iCs/>
          <w:sz w:val="24"/>
          <w:szCs w:val="24"/>
        </w:rPr>
        <w:t xml:space="preserve"> elkövetője által célba vett</w:t>
      </w:r>
      <w:r>
        <w:rPr>
          <w:rFonts w:ascii="Times New Roman" w:hAnsi="Times New Roman" w:cs="Times New Roman"/>
          <w:iCs/>
          <w:sz w:val="24"/>
          <w:szCs w:val="24"/>
        </w:rPr>
        <w:t xml:space="preserve"> védett tulajdonsággal rendelkező csoport valamennyi tagja számára. A csoport tagjai úgy érezhetik, hogy megijeszti és </w:t>
      </w:r>
      <w:r w:rsidR="00FC2018">
        <w:rPr>
          <w:rFonts w:ascii="Times New Roman" w:hAnsi="Times New Roman" w:cs="Times New Roman"/>
          <w:iCs/>
          <w:sz w:val="24"/>
          <w:szCs w:val="24"/>
        </w:rPr>
        <w:t xml:space="preserve">megfélemlíti őket az a gondolat, hogy a jövőben hasonló bűncselekmény áldozatává válhatnak. Az a tény, hogy az áldozatot olyan tulajdonság alapján választották ki, amely </w:t>
      </w:r>
      <w:proofErr w:type="spellStart"/>
      <w:r w:rsidR="00FC2018">
        <w:rPr>
          <w:rFonts w:ascii="Times New Roman" w:hAnsi="Times New Roman" w:cs="Times New Roman"/>
          <w:iCs/>
          <w:sz w:val="24"/>
          <w:szCs w:val="24"/>
        </w:rPr>
        <w:t>mindannyiukban</w:t>
      </w:r>
      <w:proofErr w:type="spellEnd"/>
      <w:r w:rsidR="00FC2018">
        <w:rPr>
          <w:rFonts w:ascii="Times New Roman" w:hAnsi="Times New Roman" w:cs="Times New Roman"/>
          <w:iCs/>
          <w:sz w:val="24"/>
          <w:szCs w:val="24"/>
        </w:rPr>
        <w:t xml:space="preserve"> közös és így a kiválasztás bizonyos mértékben véletlenszerű volt</w:t>
      </w:r>
      <w:r w:rsidR="006C5E78">
        <w:rPr>
          <w:rFonts w:ascii="Times New Roman" w:hAnsi="Times New Roman" w:cs="Times New Roman"/>
          <w:iCs/>
          <w:sz w:val="24"/>
          <w:szCs w:val="24"/>
        </w:rPr>
        <w:t>,</w:t>
      </w:r>
      <w:r w:rsidR="00FC2018">
        <w:rPr>
          <w:rFonts w:ascii="Times New Roman" w:hAnsi="Times New Roman" w:cs="Times New Roman"/>
          <w:iCs/>
          <w:sz w:val="24"/>
          <w:szCs w:val="24"/>
        </w:rPr>
        <w:t xml:space="preserve"> azt jelenti, hogy </w:t>
      </w:r>
      <w:r w:rsidR="005334FC">
        <w:rPr>
          <w:rFonts w:ascii="Times New Roman" w:hAnsi="Times New Roman" w:cs="Times New Roman"/>
          <w:iCs/>
          <w:sz w:val="24"/>
          <w:szCs w:val="24"/>
        </w:rPr>
        <w:t xml:space="preserve">a </w:t>
      </w:r>
      <w:r w:rsidR="00FC2018">
        <w:rPr>
          <w:rFonts w:ascii="Times New Roman" w:hAnsi="Times New Roman" w:cs="Times New Roman"/>
          <w:iCs/>
          <w:sz w:val="24"/>
          <w:szCs w:val="24"/>
        </w:rPr>
        <w:t xml:space="preserve">támadás tényleges célpontja tulajdonképpen felcserélhető. Ennek megfelelően a csoport tagjai közvetlenebbül azonosulnak az áldozattal és előfordulhat, hogy úgy élik meg a bűncselekményt, mintha közvetlenül ellenük követték volna el. </w:t>
      </w:r>
    </w:p>
    <w:p w:rsidR="00BF7CAD" w:rsidRPr="006262CC" w:rsidRDefault="00FC2018" w:rsidP="00FC2018">
      <w:pPr>
        <w:ind w:firstLine="720"/>
        <w:jc w:val="both"/>
        <w:rPr>
          <w:rFonts w:ascii="Times New Roman" w:hAnsi="Times New Roman" w:cs="Times New Roman"/>
          <w:iCs/>
          <w:sz w:val="24"/>
          <w:szCs w:val="24"/>
        </w:rPr>
      </w:pPr>
      <w:r>
        <w:rPr>
          <w:rFonts w:ascii="Times New Roman" w:hAnsi="Times New Roman" w:cs="Times New Roman"/>
          <w:iCs/>
          <w:sz w:val="24"/>
          <w:szCs w:val="24"/>
        </w:rPr>
        <w:t>Különösen igaz ez olyan társadalmak esetében, ahol a diszkriminációnak régre visszanyúló történelme van, ahol azt a társadalom elfogadja</w:t>
      </w:r>
      <w:r w:rsidR="006C5E78">
        <w:rPr>
          <w:rFonts w:ascii="Times New Roman" w:hAnsi="Times New Roman" w:cs="Times New Roman"/>
          <w:iCs/>
          <w:sz w:val="24"/>
          <w:szCs w:val="24"/>
        </w:rPr>
        <w:t>,</w:t>
      </w:r>
      <w:r>
        <w:rPr>
          <w:rFonts w:ascii="Times New Roman" w:hAnsi="Times New Roman" w:cs="Times New Roman"/>
          <w:iCs/>
          <w:sz w:val="24"/>
          <w:szCs w:val="24"/>
        </w:rPr>
        <w:t xml:space="preserve"> és ahol a gyűlölet-bűncselekmények nem kapnak kellő figyelmet. Ennek eredményeként a személyes szintű következményeken túl a gyűlölet-bűncselekmények büntetéséhez szükséges rendelkezések hiánya is kiábrándultságot és kétségeket kelt az adott csoport tagjai között</w:t>
      </w:r>
      <w:r w:rsidR="006C5E78">
        <w:rPr>
          <w:rFonts w:ascii="Times New Roman" w:hAnsi="Times New Roman" w:cs="Times New Roman"/>
          <w:iCs/>
          <w:sz w:val="24"/>
          <w:szCs w:val="24"/>
        </w:rPr>
        <w:t>. Felmerülhet bennük a kérdés,</w:t>
      </w:r>
      <w:r>
        <w:rPr>
          <w:rFonts w:ascii="Times New Roman" w:hAnsi="Times New Roman" w:cs="Times New Roman"/>
          <w:iCs/>
          <w:sz w:val="24"/>
          <w:szCs w:val="24"/>
        </w:rPr>
        <w:t xml:space="preserve"> vajon az állam és a bíróság képes-e megvédeni őket és igazságot szolgáltatni. Ennek következtében </w:t>
      </w:r>
      <w:r w:rsidR="006C5E78">
        <w:rPr>
          <w:rFonts w:ascii="Times New Roman" w:hAnsi="Times New Roman" w:cs="Times New Roman"/>
          <w:iCs/>
          <w:sz w:val="24"/>
          <w:szCs w:val="24"/>
        </w:rPr>
        <w:t>a</w:t>
      </w:r>
      <w:r>
        <w:rPr>
          <w:rFonts w:ascii="Times New Roman" w:hAnsi="Times New Roman" w:cs="Times New Roman"/>
          <w:iCs/>
          <w:sz w:val="24"/>
          <w:szCs w:val="24"/>
        </w:rPr>
        <w:t xml:space="preserve"> gyűlölet-bűncselekményekkel kapcsolatos</w:t>
      </w:r>
      <w:r w:rsidR="006C5E78">
        <w:rPr>
          <w:rFonts w:ascii="Times New Roman" w:hAnsi="Times New Roman" w:cs="Times New Roman"/>
          <w:iCs/>
          <w:sz w:val="24"/>
          <w:szCs w:val="24"/>
        </w:rPr>
        <w:t xml:space="preserve"> szigorú szabályozást tartalmazó</w:t>
      </w:r>
      <w:r>
        <w:rPr>
          <w:rFonts w:ascii="Times New Roman" w:hAnsi="Times New Roman" w:cs="Times New Roman"/>
          <w:iCs/>
          <w:sz w:val="24"/>
          <w:szCs w:val="24"/>
        </w:rPr>
        <w:t xml:space="preserve"> törvények elfogadásának és végrehajtásának is nagy szimbolikus jelent</w:t>
      </w:r>
      <w:r w:rsidR="005334FC">
        <w:rPr>
          <w:rFonts w:ascii="Times New Roman" w:hAnsi="Times New Roman" w:cs="Times New Roman"/>
          <w:iCs/>
          <w:sz w:val="24"/>
          <w:szCs w:val="24"/>
        </w:rPr>
        <w:t>ősége</w:t>
      </w:r>
      <w:r>
        <w:rPr>
          <w:rFonts w:ascii="Times New Roman" w:hAnsi="Times New Roman" w:cs="Times New Roman"/>
          <w:iCs/>
          <w:sz w:val="24"/>
          <w:szCs w:val="24"/>
        </w:rPr>
        <w:t xml:space="preserve"> van, mert a bántalmazott egyének és közösségek visszanyerik bizalmukat abban, hogy az állam képes megvédeni őket.</w:t>
      </w:r>
      <w:r w:rsidR="00BF7CAD" w:rsidRPr="006262CC">
        <w:rPr>
          <w:rFonts w:ascii="Times New Roman" w:hAnsi="Times New Roman" w:cs="Times New Roman"/>
          <w:iCs/>
          <w:sz w:val="24"/>
          <w:szCs w:val="24"/>
          <w:vertAlign w:val="superscript"/>
        </w:rPr>
        <w:footnoteReference w:id="24"/>
      </w:r>
    </w:p>
    <w:p w:rsidR="00BF7CAD" w:rsidRPr="006262CC" w:rsidRDefault="00BF7CAD" w:rsidP="00BD2A7A">
      <w:pPr>
        <w:ind w:firstLine="720"/>
        <w:jc w:val="both"/>
        <w:rPr>
          <w:rFonts w:ascii="Times New Roman" w:hAnsi="Times New Roman" w:cs="Times New Roman"/>
          <w:iCs/>
          <w:sz w:val="24"/>
          <w:szCs w:val="24"/>
        </w:rPr>
      </w:pPr>
    </w:p>
    <w:tbl>
      <w:tblPr>
        <w:tblStyle w:val="MediumGrid1-Accent52"/>
        <w:tblW w:w="0" w:type="auto"/>
        <w:tblLook w:val="04A0" w:firstRow="1" w:lastRow="0" w:firstColumn="1" w:lastColumn="0" w:noHBand="0" w:noVBand="1"/>
      </w:tblPr>
      <w:tblGrid>
        <w:gridCol w:w="8440"/>
      </w:tblGrid>
      <w:tr w:rsidR="00BF7CAD" w:rsidRPr="006262CC" w:rsidTr="00D23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0" w:type="dxa"/>
          </w:tcPr>
          <w:p w:rsidR="00BF7CAD" w:rsidRPr="006262CC" w:rsidRDefault="00BF7CAD" w:rsidP="00BF7CAD">
            <w:pPr>
              <w:contextualSpacing/>
              <w:jc w:val="both"/>
              <w:rPr>
                <w:rFonts w:ascii="Verdana" w:hAnsi="Verdana"/>
                <w:sz w:val="18"/>
                <w:szCs w:val="18"/>
                <w:lang w:val="hu-HU"/>
              </w:rPr>
            </w:pPr>
          </w:p>
          <w:p w:rsidR="00BF7CAD" w:rsidRPr="008E478C" w:rsidRDefault="00FC2018" w:rsidP="00BF7CAD">
            <w:pPr>
              <w:jc w:val="both"/>
              <w:rPr>
                <w:rFonts w:ascii="Verdana" w:eastAsia="MS Mincho" w:hAnsi="Verdana" w:cs="Times New Roman"/>
                <w:b w:val="0"/>
                <w:bCs w:val="0"/>
                <w:iCs/>
                <w:color w:val="943634"/>
                <w:sz w:val="19"/>
                <w:szCs w:val="19"/>
                <w:lang w:val="hu-HU"/>
              </w:rPr>
            </w:pPr>
            <w:r>
              <w:rPr>
                <w:rFonts w:ascii="Verdana" w:eastAsia="MS Mincho" w:hAnsi="Verdana" w:cs="Times New Roman"/>
                <w:color w:val="943634"/>
                <w:sz w:val="19"/>
                <w:szCs w:val="19"/>
                <w:lang w:val="hu-HU"/>
              </w:rPr>
              <w:t xml:space="preserve">Emberi Jogok </w:t>
            </w:r>
            <w:r w:rsidR="008E478C">
              <w:rPr>
                <w:rFonts w:ascii="Verdana" w:eastAsia="MS Mincho" w:hAnsi="Verdana" w:cs="Times New Roman"/>
                <w:color w:val="943634"/>
                <w:sz w:val="19"/>
                <w:szCs w:val="19"/>
                <w:lang w:val="hu-HU"/>
              </w:rPr>
              <w:t>Európai Bírósága</w:t>
            </w:r>
            <w:r w:rsidR="00BF7CAD" w:rsidRPr="006262CC">
              <w:rPr>
                <w:rFonts w:ascii="Verdana" w:eastAsia="MS Mincho" w:hAnsi="Verdana" w:cs="Times New Roman"/>
                <w:color w:val="943634"/>
                <w:sz w:val="19"/>
                <w:szCs w:val="19"/>
                <w:lang w:val="hu-HU"/>
              </w:rPr>
              <w:t xml:space="preserve">, </w:t>
            </w:r>
            <w:r w:rsidR="00BF7CAD" w:rsidRPr="006262CC">
              <w:rPr>
                <w:rFonts w:ascii="Verdana" w:eastAsia="MS Mincho" w:hAnsi="Verdana" w:cs="Times New Roman"/>
                <w:iCs/>
                <w:color w:val="943634"/>
                <w:sz w:val="19"/>
                <w:szCs w:val="19"/>
                <w:lang w:val="hu-HU"/>
              </w:rPr>
              <w:t>Király</w:t>
            </w:r>
            <w:r w:rsidR="008E478C">
              <w:rPr>
                <w:rFonts w:ascii="Verdana" w:eastAsia="MS Mincho" w:hAnsi="Verdana" w:cs="Times New Roman"/>
                <w:iCs/>
                <w:color w:val="943634"/>
                <w:sz w:val="19"/>
                <w:szCs w:val="19"/>
                <w:lang w:val="hu-HU"/>
              </w:rPr>
              <w:t xml:space="preserve"> és</w:t>
            </w:r>
            <w:r w:rsidR="00BF7CAD" w:rsidRPr="006262CC">
              <w:rPr>
                <w:rFonts w:ascii="Verdana" w:eastAsia="MS Mincho" w:hAnsi="Verdana" w:cs="Times New Roman"/>
                <w:iCs/>
                <w:color w:val="943634"/>
                <w:sz w:val="19"/>
                <w:szCs w:val="19"/>
                <w:lang w:val="hu-HU"/>
              </w:rPr>
              <w:t xml:space="preserve"> Dömötör </w:t>
            </w:r>
            <w:r w:rsidR="008E478C">
              <w:rPr>
                <w:rFonts w:ascii="Verdana" w:eastAsia="MS Mincho" w:hAnsi="Verdana" w:cs="Times New Roman"/>
                <w:iCs/>
                <w:color w:val="943634"/>
                <w:sz w:val="19"/>
                <w:szCs w:val="19"/>
                <w:lang w:val="hu-HU"/>
              </w:rPr>
              <w:t>kontra Magyarország</w:t>
            </w:r>
            <w:r w:rsidR="00BF7CAD" w:rsidRPr="006262CC">
              <w:rPr>
                <w:rFonts w:ascii="Verdana" w:eastAsia="MS Mincho" w:hAnsi="Verdana" w:cs="Times New Roman"/>
                <w:color w:val="943634"/>
                <w:sz w:val="19"/>
                <w:szCs w:val="19"/>
                <w:lang w:val="hu-HU"/>
              </w:rPr>
              <w:t>,</w:t>
            </w:r>
            <w:r w:rsidR="00BF7CAD" w:rsidRPr="006262CC">
              <w:rPr>
                <w:rFonts w:ascii="Verdana" w:eastAsia="MS Mincho" w:hAnsi="Verdana" w:cs="Times New Roman"/>
                <w:i/>
                <w:iCs/>
                <w:color w:val="943634"/>
                <w:sz w:val="19"/>
                <w:szCs w:val="19"/>
                <w:lang w:val="hu-HU"/>
              </w:rPr>
              <w:t>63409/11</w:t>
            </w:r>
            <w:r w:rsidR="008E478C" w:rsidRPr="008E478C">
              <w:rPr>
                <w:rFonts w:ascii="Verdana" w:eastAsia="MS Mincho" w:hAnsi="Verdana" w:cs="Times New Roman"/>
                <w:iCs/>
                <w:color w:val="943634"/>
                <w:sz w:val="19"/>
                <w:szCs w:val="19"/>
                <w:lang w:val="hu-HU"/>
              </w:rPr>
              <w:t>sz. kérelem</w:t>
            </w:r>
            <w:r w:rsidR="008E478C">
              <w:rPr>
                <w:rFonts w:ascii="Verdana" w:eastAsia="MS Mincho" w:hAnsi="Verdana" w:cs="Times New Roman"/>
                <w:iCs/>
                <w:color w:val="943634"/>
                <w:sz w:val="19"/>
                <w:szCs w:val="19"/>
                <w:lang w:val="hu-HU"/>
              </w:rPr>
              <w:t xml:space="preserve">, </w:t>
            </w:r>
            <w:r w:rsidR="00BF7CAD" w:rsidRPr="006262CC">
              <w:rPr>
                <w:rFonts w:ascii="Verdana" w:eastAsia="MS Mincho" w:hAnsi="Verdana" w:cs="Times New Roman"/>
                <w:iCs/>
                <w:color w:val="943634"/>
                <w:sz w:val="19"/>
                <w:szCs w:val="19"/>
                <w:lang w:val="hu-HU"/>
              </w:rPr>
              <w:t>2017</w:t>
            </w:r>
            <w:r w:rsidR="008E478C">
              <w:rPr>
                <w:rFonts w:ascii="Verdana" w:eastAsia="MS Mincho" w:hAnsi="Verdana" w:cs="Times New Roman"/>
                <w:iCs/>
                <w:color w:val="943634"/>
                <w:sz w:val="19"/>
                <w:szCs w:val="19"/>
                <w:lang w:val="hu-HU"/>
              </w:rPr>
              <w:t>. március 28-án kelt ítélet</w:t>
            </w:r>
          </w:p>
          <w:p w:rsidR="00BF7CAD" w:rsidRPr="006262CC" w:rsidRDefault="00BF7CAD" w:rsidP="00BF7CAD">
            <w:pPr>
              <w:contextualSpacing/>
              <w:jc w:val="both"/>
              <w:rPr>
                <w:rFonts w:ascii="Verdana" w:hAnsi="Verdana"/>
                <w:sz w:val="18"/>
                <w:szCs w:val="18"/>
                <w:u w:val="single"/>
                <w:lang w:val="hu-HU"/>
              </w:rPr>
            </w:pPr>
          </w:p>
          <w:p w:rsidR="00BF7CAD" w:rsidRPr="006262CC" w:rsidRDefault="00BF7CAD" w:rsidP="00BF7CAD">
            <w:pPr>
              <w:contextualSpacing/>
              <w:jc w:val="both"/>
              <w:rPr>
                <w:rFonts w:ascii="Verdana" w:hAnsi="Verdana"/>
                <w:b w:val="0"/>
                <w:i/>
                <w:iCs/>
                <w:sz w:val="18"/>
                <w:szCs w:val="18"/>
                <w:lang w:val="hu-HU"/>
              </w:rPr>
            </w:pPr>
            <w:r w:rsidRPr="006262CC">
              <w:rPr>
                <w:rFonts w:ascii="Verdana" w:hAnsi="Verdana"/>
                <w:b w:val="0"/>
                <w:i/>
                <w:iCs/>
                <w:sz w:val="18"/>
                <w:szCs w:val="18"/>
                <w:lang w:val="hu-HU"/>
              </w:rPr>
              <w:t xml:space="preserve">41. </w:t>
            </w:r>
            <w:r w:rsidR="008E478C">
              <w:rPr>
                <w:rFonts w:ascii="Verdana" w:hAnsi="Verdana"/>
                <w:b w:val="0"/>
                <w:i/>
                <w:iCs/>
                <w:sz w:val="18"/>
                <w:szCs w:val="18"/>
                <w:lang w:val="hu-HU"/>
              </w:rPr>
              <w:t xml:space="preserve">Az Egyezmény 8. cikke értelmében a „magánélet” fogalma egy tág fogalom, amelyet nem lehet </w:t>
            </w:r>
            <w:proofErr w:type="spellStart"/>
            <w:r w:rsidR="008E478C">
              <w:rPr>
                <w:rFonts w:ascii="Verdana" w:hAnsi="Verdana"/>
                <w:b w:val="0"/>
                <w:i/>
                <w:iCs/>
                <w:sz w:val="18"/>
                <w:szCs w:val="18"/>
                <w:lang w:val="hu-HU"/>
              </w:rPr>
              <w:t>teljeskörűen</w:t>
            </w:r>
            <w:proofErr w:type="spellEnd"/>
            <w:r w:rsidR="008E478C">
              <w:rPr>
                <w:rFonts w:ascii="Verdana" w:hAnsi="Verdana"/>
                <w:b w:val="0"/>
                <w:i/>
                <w:iCs/>
                <w:sz w:val="18"/>
                <w:szCs w:val="18"/>
                <w:lang w:val="hu-HU"/>
              </w:rPr>
              <w:t xml:space="preserve"> meghatározni. Magában foglalja az egyén fizikai és lelki épségét. A személyes autonómia fogalma a 8</w:t>
            </w:r>
            <w:r w:rsidR="005334FC">
              <w:rPr>
                <w:rFonts w:ascii="Verdana" w:hAnsi="Verdana"/>
                <w:b w:val="0"/>
                <w:i/>
                <w:iCs/>
                <w:sz w:val="18"/>
                <w:szCs w:val="18"/>
                <w:lang w:val="hu-HU"/>
              </w:rPr>
              <w:t>.</w:t>
            </w:r>
            <w:r w:rsidR="008E478C">
              <w:rPr>
                <w:rFonts w:ascii="Verdana" w:hAnsi="Verdana"/>
                <w:b w:val="0"/>
                <w:i/>
                <w:iCs/>
                <w:sz w:val="18"/>
                <w:szCs w:val="18"/>
                <w:lang w:val="hu-HU"/>
              </w:rPr>
              <w:t xml:space="preserve"> cikkben foglalt garanciák értelmezésének fontos alapelve. Éppen ezért az egyén fizikai és társas identitásának számos aspektusát felölelheti. A Bíróság korábban már elfogadta, hogy az egyén etnikai identitását is hasonló elemnek kell tekinteni </w:t>
            </w:r>
            <w:r w:rsidRPr="006262CC">
              <w:rPr>
                <w:rFonts w:ascii="Verdana" w:hAnsi="Verdana"/>
                <w:b w:val="0"/>
                <w:i/>
                <w:iCs/>
                <w:sz w:val="18"/>
                <w:szCs w:val="18"/>
                <w:lang w:val="hu-HU"/>
              </w:rPr>
              <w:t>(</w:t>
            </w:r>
            <w:r w:rsidR="008E478C">
              <w:rPr>
                <w:rFonts w:ascii="Verdana" w:hAnsi="Verdana"/>
                <w:b w:val="0"/>
                <w:i/>
                <w:iCs/>
                <w:sz w:val="18"/>
                <w:szCs w:val="18"/>
                <w:lang w:val="hu-HU"/>
              </w:rPr>
              <w:t>lásd</w:t>
            </w:r>
            <w:r w:rsidRPr="006262CC">
              <w:rPr>
                <w:rFonts w:ascii="Verdana" w:hAnsi="Verdana"/>
                <w:b w:val="0"/>
                <w:i/>
                <w:iCs/>
                <w:sz w:val="18"/>
                <w:szCs w:val="18"/>
                <w:lang w:val="hu-HU"/>
              </w:rPr>
              <w:t xml:space="preserve"> S. </w:t>
            </w:r>
            <w:r w:rsidR="008E478C">
              <w:rPr>
                <w:rFonts w:ascii="Verdana" w:hAnsi="Verdana"/>
                <w:b w:val="0"/>
                <w:i/>
                <w:iCs/>
                <w:sz w:val="18"/>
                <w:szCs w:val="18"/>
                <w:lang w:val="hu-HU"/>
              </w:rPr>
              <w:t>és</w:t>
            </w:r>
            <w:r w:rsidRPr="006262CC">
              <w:rPr>
                <w:rFonts w:ascii="Verdana" w:hAnsi="Verdana"/>
                <w:b w:val="0"/>
                <w:i/>
                <w:iCs/>
                <w:sz w:val="18"/>
                <w:szCs w:val="18"/>
                <w:lang w:val="hu-HU"/>
              </w:rPr>
              <w:t xml:space="preserve"> Marper </w:t>
            </w:r>
            <w:r w:rsidR="008E478C">
              <w:rPr>
                <w:rFonts w:ascii="Verdana" w:hAnsi="Verdana"/>
                <w:b w:val="0"/>
                <w:i/>
                <w:iCs/>
                <w:sz w:val="18"/>
                <w:szCs w:val="18"/>
                <w:lang w:val="hu-HU"/>
              </w:rPr>
              <w:t>kontra Egyesült Királyság</w:t>
            </w:r>
            <w:r w:rsidRPr="006262CC">
              <w:rPr>
                <w:rFonts w:ascii="Verdana" w:hAnsi="Verdana"/>
                <w:b w:val="0"/>
                <w:i/>
                <w:iCs/>
                <w:sz w:val="18"/>
                <w:szCs w:val="18"/>
                <w:lang w:val="hu-HU"/>
              </w:rPr>
              <w:t xml:space="preserve"> [GC], 30562/04 </w:t>
            </w:r>
            <w:r w:rsidR="008E478C">
              <w:rPr>
                <w:rFonts w:ascii="Verdana" w:hAnsi="Verdana"/>
                <w:b w:val="0"/>
                <w:i/>
                <w:iCs/>
                <w:sz w:val="18"/>
                <w:szCs w:val="18"/>
                <w:lang w:val="hu-HU"/>
              </w:rPr>
              <w:t>és</w:t>
            </w:r>
            <w:r w:rsidRPr="006262CC">
              <w:rPr>
                <w:rFonts w:ascii="Verdana" w:hAnsi="Verdana"/>
                <w:b w:val="0"/>
                <w:i/>
                <w:iCs/>
                <w:sz w:val="18"/>
                <w:szCs w:val="18"/>
                <w:lang w:val="hu-HU"/>
              </w:rPr>
              <w:t xml:space="preserve"> </w:t>
            </w:r>
            <w:r w:rsidRPr="006262CC">
              <w:rPr>
                <w:rFonts w:ascii="Verdana" w:hAnsi="Verdana"/>
                <w:b w:val="0"/>
                <w:i/>
                <w:iCs/>
                <w:sz w:val="18"/>
                <w:szCs w:val="18"/>
                <w:lang w:val="hu-HU"/>
              </w:rPr>
              <w:lastRenderedPageBreak/>
              <w:t>30566/04</w:t>
            </w:r>
            <w:r w:rsidR="008E478C">
              <w:rPr>
                <w:rFonts w:ascii="Verdana" w:hAnsi="Verdana"/>
                <w:b w:val="0"/>
                <w:i/>
                <w:iCs/>
                <w:sz w:val="18"/>
                <w:szCs w:val="18"/>
                <w:lang w:val="hu-HU"/>
              </w:rPr>
              <w:t xml:space="preserve"> sz. kérelem</w:t>
            </w:r>
            <w:r w:rsidRPr="006262CC">
              <w:rPr>
                <w:rFonts w:ascii="Verdana" w:hAnsi="Verdana"/>
                <w:b w:val="0"/>
                <w:i/>
                <w:iCs/>
                <w:sz w:val="18"/>
                <w:szCs w:val="18"/>
                <w:lang w:val="hu-HU"/>
              </w:rPr>
              <w:t>, 66</w:t>
            </w:r>
            <w:r w:rsidR="008E478C">
              <w:rPr>
                <w:rFonts w:ascii="Verdana" w:hAnsi="Verdana"/>
                <w:b w:val="0"/>
                <w:i/>
                <w:iCs/>
                <w:sz w:val="18"/>
                <w:szCs w:val="18"/>
                <w:lang w:val="hu-HU"/>
              </w:rPr>
              <w:t>. bekezdés</w:t>
            </w:r>
            <w:r w:rsidRPr="006262CC">
              <w:rPr>
                <w:rFonts w:ascii="Verdana" w:hAnsi="Verdana"/>
                <w:b w:val="0"/>
                <w:i/>
                <w:iCs/>
                <w:sz w:val="18"/>
                <w:szCs w:val="18"/>
                <w:lang w:val="hu-HU"/>
              </w:rPr>
              <w:t>, E</w:t>
            </w:r>
            <w:r w:rsidR="008E478C">
              <w:rPr>
                <w:rFonts w:ascii="Verdana" w:hAnsi="Verdana"/>
                <w:b w:val="0"/>
                <w:i/>
                <w:iCs/>
                <w:sz w:val="18"/>
                <w:szCs w:val="18"/>
                <w:lang w:val="hu-HU"/>
              </w:rPr>
              <w:t>JEB</w:t>
            </w:r>
            <w:r w:rsidRPr="006262CC">
              <w:rPr>
                <w:rFonts w:ascii="Verdana" w:hAnsi="Verdana"/>
                <w:b w:val="0"/>
                <w:i/>
                <w:iCs/>
                <w:sz w:val="18"/>
                <w:szCs w:val="18"/>
                <w:lang w:val="hu-HU"/>
              </w:rPr>
              <w:t xml:space="preserve"> 2008-V, </w:t>
            </w:r>
            <w:r w:rsidR="008E478C">
              <w:rPr>
                <w:rFonts w:ascii="Verdana" w:hAnsi="Verdana"/>
                <w:b w:val="0"/>
                <w:i/>
                <w:iCs/>
                <w:sz w:val="18"/>
                <w:szCs w:val="18"/>
                <w:lang w:val="hu-HU"/>
              </w:rPr>
              <w:t>és</w:t>
            </w:r>
            <w:r w:rsidR="002E6850">
              <w:rPr>
                <w:rFonts w:ascii="Verdana" w:hAnsi="Verdana"/>
                <w:b w:val="0"/>
                <w:i/>
                <w:iCs/>
                <w:sz w:val="18"/>
                <w:szCs w:val="18"/>
                <w:lang w:val="hu-HU"/>
              </w:rPr>
              <w:t xml:space="preserve"> </w:t>
            </w:r>
            <w:proofErr w:type="spellStart"/>
            <w:r w:rsidRPr="006262CC">
              <w:rPr>
                <w:rFonts w:ascii="Verdana" w:hAnsi="Verdana"/>
                <w:b w:val="0"/>
                <w:i/>
                <w:iCs/>
                <w:sz w:val="18"/>
                <w:szCs w:val="18"/>
                <w:lang w:val="hu-HU"/>
              </w:rPr>
              <w:t>Ciubotaru</w:t>
            </w:r>
            <w:proofErr w:type="spellEnd"/>
            <w:r w:rsidR="002E6850">
              <w:rPr>
                <w:rFonts w:ascii="Verdana" w:hAnsi="Verdana"/>
                <w:b w:val="0"/>
                <w:i/>
                <w:iCs/>
                <w:sz w:val="18"/>
                <w:szCs w:val="18"/>
                <w:lang w:val="hu-HU"/>
              </w:rPr>
              <w:t xml:space="preserve"> </w:t>
            </w:r>
            <w:r w:rsidR="008E478C">
              <w:rPr>
                <w:rFonts w:ascii="Verdana" w:hAnsi="Verdana"/>
                <w:b w:val="0"/>
                <w:i/>
                <w:iCs/>
                <w:sz w:val="18"/>
                <w:szCs w:val="18"/>
                <w:lang w:val="hu-HU"/>
              </w:rPr>
              <w:t>kontra</w:t>
            </w:r>
            <w:r w:rsidRPr="006262CC">
              <w:rPr>
                <w:rFonts w:ascii="Verdana" w:hAnsi="Verdana"/>
                <w:b w:val="0"/>
                <w:i/>
                <w:iCs/>
                <w:sz w:val="18"/>
                <w:szCs w:val="18"/>
                <w:lang w:val="hu-HU"/>
              </w:rPr>
              <w:t xml:space="preserve"> Moldova,27138/04</w:t>
            </w:r>
            <w:r w:rsidR="008E478C">
              <w:rPr>
                <w:rFonts w:ascii="Verdana" w:hAnsi="Verdana"/>
                <w:b w:val="0"/>
                <w:i/>
                <w:iCs/>
                <w:sz w:val="18"/>
                <w:szCs w:val="18"/>
                <w:lang w:val="hu-HU"/>
              </w:rPr>
              <w:t>. sz. kérelem</w:t>
            </w:r>
            <w:r w:rsidRPr="006262CC">
              <w:rPr>
                <w:rFonts w:ascii="Verdana" w:hAnsi="Verdana"/>
                <w:b w:val="0"/>
                <w:i/>
                <w:iCs/>
                <w:sz w:val="18"/>
                <w:szCs w:val="18"/>
                <w:lang w:val="hu-HU"/>
              </w:rPr>
              <w:t>,</w:t>
            </w:r>
            <w:r w:rsidR="002E6850">
              <w:rPr>
                <w:rFonts w:ascii="Verdana" w:hAnsi="Verdana"/>
                <w:b w:val="0"/>
                <w:i/>
                <w:iCs/>
                <w:sz w:val="18"/>
                <w:szCs w:val="18"/>
                <w:lang w:val="hu-HU"/>
              </w:rPr>
              <w:t xml:space="preserve"> </w:t>
            </w:r>
            <w:r w:rsidRPr="006262CC">
              <w:rPr>
                <w:rFonts w:ascii="Verdana" w:hAnsi="Verdana"/>
                <w:b w:val="0"/>
                <w:i/>
                <w:iCs/>
                <w:sz w:val="18"/>
                <w:szCs w:val="18"/>
                <w:lang w:val="hu-HU"/>
              </w:rPr>
              <w:t>49</w:t>
            </w:r>
            <w:r w:rsidR="008E478C">
              <w:rPr>
                <w:rFonts w:ascii="Verdana" w:hAnsi="Verdana"/>
                <w:b w:val="0"/>
                <w:i/>
                <w:iCs/>
                <w:sz w:val="18"/>
                <w:szCs w:val="18"/>
                <w:lang w:val="hu-HU"/>
              </w:rPr>
              <w:t>. bekezdés</w:t>
            </w:r>
            <w:r w:rsidRPr="006262CC">
              <w:rPr>
                <w:rFonts w:ascii="Verdana" w:hAnsi="Verdana"/>
                <w:b w:val="0"/>
                <w:i/>
                <w:iCs/>
                <w:sz w:val="18"/>
                <w:szCs w:val="18"/>
                <w:lang w:val="hu-HU"/>
              </w:rPr>
              <w:t>,</w:t>
            </w:r>
            <w:r w:rsidR="002E6850">
              <w:rPr>
                <w:rFonts w:ascii="Verdana" w:hAnsi="Verdana"/>
                <w:b w:val="0"/>
                <w:i/>
                <w:iCs/>
                <w:sz w:val="18"/>
                <w:szCs w:val="18"/>
                <w:lang w:val="hu-HU"/>
              </w:rPr>
              <w:t xml:space="preserve"> </w:t>
            </w:r>
            <w:r w:rsidRPr="006262CC">
              <w:rPr>
                <w:rFonts w:ascii="Verdana" w:hAnsi="Verdana"/>
                <w:b w:val="0"/>
                <w:i/>
                <w:iCs/>
                <w:sz w:val="18"/>
                <w:szCs w:val="18"/>
                <w:lang w:val="hu-HU"/>
              </w:rPr>
              <w:t>2010</w:t>
            </w:r>
            <w:r w:rsidR="008E478C">
              <w:rPr>
                <w:rFonts w:ascii="Verdana" w:hAnsi="Verdana"/>
                <w:b w:val="0"/>
                <w:i/>
                <w:iCs/>
                <w:sz w:val="18"/>
                <w:szCs w:val="18"/>
                <w:lang w:val="hu-HU"/>
              </w:rPr>
              <w:t>. április 27.</w:t>
            </w:r>
            <w:r w:rsidRPr="006262CC">
              <w:rPr>
                <w:rFonts w:ascii="Verdana" w:hAnsi="Verdana"/>
                <w:b w:val="0"/>
                <w:i/>
                <w:iCs/>
                <w:sz w:val="18"/>
                <w:szCs w:val="18"/>
                <w:lang w:val="hu-HU"/>
              </w:rPr>
              <w:t xml:space="preserve">). </w:t>
            </w:r>
            <w:r w:rsidR="005334FC">
              <w:rPr>
                <w:rFonts w:ascii="Verdana" w:hAnsi="Verdana"/>
                <w:i/>
                <w:iCs/>
                <w:sz w:val="18"/>
                <w:szCs w:val="18"/>
                <w:lang w:val="hu-HU"/>
              </w:rPr>
              <w:t>A</w:t>
            </w:r>
            <w:r w:rsidR="005334FC" w:rsidRPr="00CD641B">
              <w:rPr>
                <w:rFonts w:ascii="Verdana" w:hAnsi="Verdana"/>
                <w:i/>
                <w:iCs/>
                <w:sz w:val="18"/>
                <w:szCs w:val="18"/>
                <w:lang w:val="hu-HU"/>
              </w:rPr>
              <w:t>mikor elér egy bizonyos szintet,</w:t>
            </w:r>
            <w:r w:rsidR="005334FC">
              <w:rPr>
                <w:rFonts w:ascii="Verdana" w:hAnsi="Verdana"/>
                <w:i/>
                <w:iCs/>
                <w:sz w:val="18"/>
                <w:szCs w:val="18"/>
                <w:lang w:val="hu-HU"/>
              </w:rPr>
              <w:t xml:space="preserve"> e</w:t>
            </w:r>
            <w:r w:rsidR="008E478C" w:rsidRPr="00CD641B">
              <w:rPr>
                <w:rFonts w:ascii="Verdana" w:hAnsi="Verdana"/>
                <w:i/>
                <w:iCs/>
                <w:sz w:val="18"/>
                <w:szCs w:val="18"/>
                <w:lang w:val="hu-HU"/>
              </w:rPr>
              <w:t xml:space="preserve">gy csoport mindennemű negatív sztereotipizálása különösen alkalmas </w:t>
            </w:r>
            <w:r w:rsidR="005334FC">
              <w:rPr>
                <w:rFonts w:ascii="Verdana" w:hAnsi="Verdana"/>
                <w:i/>
                <w:iCs/>
                <w:sz w:val="18"/>
                <w:szCs w:val="18"/>
                <w:lang w:val="hu-HU"/>
              </w:rPr>
              <w:t xml:space="preserve">lehet </w:t>
            </w:r>
            <w:r w:rsidR="00C65119" w:rsidRPr="00CD641B">
              <w:rPr>
                <w:rFonts w:ascii="Verdana" w:hAnsi="Verdana"/>
                <w:i/>
                <w:iCs/>
                <w:sz w:val="18"/>
                <w:szCs w:val="18"/>
                <w:lang w:val="hu-HU"/>
              </w:rPr>
              <w:t xml:space="preserve">arra, hogy </w:t>
            </w:r>
            <w:r w:rsidR="008E478C" w:rsidRPr="00CD641B">
              <w:rPr>
                <w:rFonts w:ascii="Verdana" w:hAnsi="Verdana"/>
                <w:i/>
                <w:iCs/>
                <w:sz w:val="18"/>
                <w:szCs w:val="18"/>
                <w:lang w:val="hu-HU"/>
              </w:rPr>
              <w:t>az adott csoport identitásérzésé</w:t>
            </w:r>
            <w:r w:rsidR="00C65119" w:rsidRPr="00CD641B">
              <w:rPr>
                <w:rFonts w:ascii="Verdana" w:hAnsi="Verdana"/>
                <w:i/>
                <w:iCs/>
                <w:sz w:val="18"/>
                <w:szCs w:val="18"/>
                <w:lang w:val="hu-HU"/>
              </w:rPr>
              <w:t>re, illetve a csoport tagjainak önértékelésére és önbizalmára kihasson.</w:t>
            </w:r>
            <w:r w:rsidR="00C65119">
              <w:rPr>
                <w:rFonts w:ascii="Verdana" w:hAnsi="Verdana"/>
                <w:b w:val="0"/>
                <w:i/>
                <w:iCs/>
                <w:sz w:val="18"/>
                <w:szCs w:val="18"/>
                <w:lang w:val="hu-HU"/>
              </w:rPr>
              <w:t xml:space="preserve"> Ebben az értelemben tekinthetjük úgy, hogy hat a csoport tagjainak magánéletére</w:t>
            </w:r>
            <w:r w:rsidR="002E6850">
              <w:rPr>
                <w:rFonts w:ascii="Verdana" w:hAnsi="Verdana"/>
                <w:b w:val="0"/>
                <w:i/>
                <w:iCs/>
                <w:sz w:val="18"/>
                <w:szCs w:val="18"/>
                <w:lang w:val="hu-HU"/>
              </w:rPr>
              <w:t xml:space="preserve"> </w:t>
            </w:r>
            <w:r w:rsidR="00C65119">
              <w:rPr>
                <w:rFonts w:ascii="Verdana" w:hAnsi="Verdana"/>
                <w:b w:val="0"/>
                <w:i/>
                <w:iCs/>
                <w:sz w:val="18"/>
                <w:szCs w:val="18"/>
                <w:lang w:val="hu-HU"/>
              </w:rPr>
              <w:t xml:space="preserve">is. </w:t>
            </w:r>
            <w:r w:rsidRPr="006262CC">
              <w:rPr>
                <w:rFonts w:ascii="Verdana" w:hAnsi="Verdana"/>
                <w:b w:val="0"/>
                <w:i/>
                <w:iCs/>
                <w:sz w:val="18"/>
                <w:szCs w:val="18"/>
                <w:lang w:val="hu-HU"/>
              </w:rPr>
              <w:t>(</w:t>
            </w:r>
            <w:r w:rsidR="008E478C">
              <w:rPr>
                <w:rFonts w:ascii="Verdana" w:hAnsi="Verdana"/>
                <w:b w:val="0"/>
                <w:i/>
                <w:iCs/>
                <w:sz w:val="18"/>
                <w:szCs w:val="18"/>
                <w:lang w:val="hu-HU"/>
              </w:rPr>
              <w:t>lásd</w:t>
            </w:r>
            <w:r w:rsidR="002E6850">
              <w:rPr>
                <w:rFonts w:ascii="Verdana" w:hAnsi="Verdana"/>
                <w:b w:val="0"/>
                <w:i/>
                <w:iCs/>
                <w:sz w:val="18"/>
                <w:szCs w:val="18"/>
                <w:lang w:val="hu-HU"/>
              </w:rPr>
              <w:t xml:space="preserve"> </w:t>
            </w:r>
            <w:proofErr w:type="spellStart"/>
            <w:r w:rsidRPr="006262CC">
              <w:rPr>
                <w:rFonts w:ascii="Verdana" w:hAnsi="Verdana"/>
                <w:b w:val="0"/>
                <w:i/>
                <w:iCs/>
                <w:sz w:val="18"/>
                <w:szCs w:val="18"/>
                <w:lang w:val="hu-HU"/>
              </w:rPr>
              <w:t>Perinçek</w:t>
            </w:r>
            <w:proofErr w:type="spellEnd"/>
            <w:r w:rsidR="002E6850">
              <w:rPr>
                <w:rFonts w:ascii="Verdana" w:hAnsi="Verdana"/>
                <w:b w:val="0"/>
                <w:i/>
                <w:iCs/>
                <w:sz w:val="18"/>
                <w:szCs w:val="18"/>
                <w:lang w:val="hu-HU"/>
              </w:rPr>
              <w:t xml:space="preserve"> </w:t>
            </w:r>
            <w:r w:rsidR="008E478C">
              <w:rPr>
                <w:rFonts w:ascii="Verdana" w:hAnsi="Verdana"/>
                <w:b w:val="0"/>
                <w:i/>
                <w:iCs/>
                <w:sz w:val="18"/>
                <w:szCs w:val="18"/>
                <w:lang w:val="hu-HU"/>
              </w:rPr>
              <w:t>kontra Svájc</w:t>
            </w:r>
            <w:r w:rsidRPr="006262CC">
              <w:rPr>
                <w:rFonts w:ascii="Verdana" w:hAnsi="Verdana"/>
                <w:b w:val="0"/>
                <w:i/>
                <w:iCs/>
                <w:sz w:val="18"/>
                <w:szCs w:val="18"/>
                <w:lang w:val="hu-HU"/>
              </w:rPr>
              <w:t xml:space="preserve"> [GC], 27510/08</w:t>
            </w:r>
            <w:r w:rsidR="00C65119">
              <w:rPr>
                <w:rFonts w:ascii="Verdana" w:hAnsi="Verdana"/>
                <w:b w:val="0"/>
                <w:i/>
                <w:iCs/>
                <w:sz w:val="18"/>
                <w:szCs w:val="18"/>
                <w:lang w:val="hu-HU"/>
              </w:rPr>
              <w:t>. sz. kérelem</w:t>
            </w:r>
            <w:r w:rsidRPr="006262CC">
              <w:rPr>
                <w:rFonts w:ascii="Verdana" w:hAnsi="Verdana"/>
                <w:b w:val="0"/>
                <w:i/>
                <w:iCs/>
                <w:sz w:val="18"/>
                <w:szCs w:val="18"/>
                <w:lang w:val="hu-HU"/>
              </w:rPr>
              <w:t>, 200</w:t>
            </w:r>
            <w:r w:rsidR="00C65119">
              <w:rPr>
                <w:rFonts w:ascii="Verdana" w:hAnsi="Verdana"/>
                <w:b w:val="0"/>
                <w:i/>
                <w:iCs/>
                <w:sz w:val="18"/>
                <w:szCs w:val="18"/>
                <w:lang w:val="hu-HU"/>
              </w:rPr>
              <w:t>. bekezdés</w:t>
            </w:r>
            <w:r w:rsidRPr="006262CC">
              <w:rPr>
                <w:rFonts w:ascii="Verdana" w:hAnsi="Verdana"/>
                <w:b w:val="0"/>
                <w:i/>
                <w:iCs/>
                <w:sz w:val="18"/>
                <w:szCs w:val="18"/>
                <w:lang w:val="hu-HU"/>
              </w:rPr>
              <w:t>, E</w:t>
            </w:r>
            <w:r w:rsidR="00C65119">
              <w:rPr>
                <w:rFonts w:ascii="Verdana" w:hAnsi="Verdana"/>
                <w:b w:val="0"/>
                <w:i/>
                <w:iCs/>
                <w:sz w:val="18"/>
                <w:szCs w:val="18"/>
                <w:lang w:val="hu-HU"/>
              </w:rPr>
              <w:t>JEB</w:t>
            </w:r>
            <w:r w:rsidRPr="006262CC">
              <w:rPr>
                <w:rFonts w:ascii="Verdana" w:hAnsi="Verdana"/>
                <w:b w:val="0"/>
                <w:i/>
                <w:iCs/>
                <w:sz w:val="18"/>
                <w:szCs w:val="18"/>
                <w:lang w:val="hu-HU"/>
              </w:rPr>
              <w:t xml:space="preserve"> 2015 (</w:t>
            </w:r>
            <w:r w:rsidR="00C65119">
              <w:rPr>
                <w:rFonts w:ascii="Verdana" w:hAnsi="Verdana"/>
                <w:b w:val="0"/>
                <w:i/>
                <w:iCs/>
                <w:sz w:val="18"/>
                <w:szCs w:val="18"/>
                <w:lang w:val="hu-HU"/>
              </w:rPr>
              <w:t>részletek</w:t>
            </w:r>
            <w:r w:rsidRPr="006262CC">
              <w:rPr>
                <w:rFonts w:ascii="Verdana" w:hAnsi="Verdana"/>
                <w:b w:val="0"/>
                <w:i/>
                <w:iCs/>
                <w:sz w:val="18"/>
                <w:szCs w:val="18"/>
                <w:lang w:val="hu-HU"/>
              </w:rPr>
              <w:t xml:space="preserve">). </w:t>
            </w:r>
            <w:r w:rsidR="00C65119">
              <w:rPr>
                <w:rFonts w:ascii="Verdana" w:hAnsi="Verdana"/>
                <w:b w:val="0"/>
                <w:i/>
                <w:iCs/>
                <w:sz w:val="18"/>
                <w:szCs w:val="18"/>
                <w:lang w:val="hu-HU"/>
              </w:rPr>
              <w:t xml:space="preserve">Ezen az alapon döntött úgy a Bíróság az </w:t>
            </w:r>
            <w:proofErr w:type="spellStart"/>
            <w:r w:rsidR="00C65119">
              <w:rPr>
                <w:rFonts w:ascii="Verdana" w:hAnsi="Verdana"/>
                <w:b w:val="0"/>
                <w:i/>
                <w:iCs/>
                <w:sz w:val="18"/>
                <w:szCs w:val="18"/>
                <w:lang w:val="hu-HU"/>
              </w:rPr>
              <w:t>Aksu</w:t>
            </w:r>
            <w:proofErr w:type="spellEnd"/>
            <w:r w:rsidR="00C65119">
              <w:rPr>
                <w:rFonts w:ascii="Verdana" w:hAnsi="Verdana"/>
                <w:b w:val="0"/>
                <w:i/>
                <w:iCs/>
                <w:sz w:val="18"/>
                <w:szCs w:val="18"/>
                <w:lang w:val="hu-HU"/>
              </w:rPr>
              <w:t xml:space="preserve"> ügyben, hogy az eljárás, amelyben egy roma származású személy – aki úgy érezte, hogy egy török könyv és szótár romákra vonatkozó bekezdései megsértették – kért jogorvoslatot, érinti a 8. cikket</w:t>
            </w:r>
            <w:r w:rsidR="00FB2267">
              <w:rPr>
                <w:rFonts w:ascii="Verdana" w:hAnsi="Verdana"/>
                <w:b w:val="0"/>
                <w:i/>
                <w:iCs/>
                <w:sz w:val="18"/>
                <w:szCs w:val="18"/>
                <w:lang w:val="hu-HU"/>
              </w:rPr>
              <w:t xml:space="preserve"> </w:t>
            </w:r>
            <w:r w:rsidRPr="006262CC">
              <w:rPr>
                <w:rFonts w:ascii="Verdana" w:hAnsi="Verdana"/>
                <w:b w:val="0"/>
                <w:i/>
                <w:iCs/>
                <w:sz w:val="18"/>
                <w:szCs w:val="18"/>
                <w:lang w:val="hu-HU"/>
              </w:rPr>
              <w:t>(</w:t>
            </w:r>
            <w:r w:rsidR="00C65119">
              <w:rPr>
                <w:rFonts w:ascii="Verdana" w:hAnsi="Verdana"/>
                <w:b w:val="0"/>
                <w:i/>
                <w:iCs/>
                <w:sz w:val="18"/>
                <w:szCs w:val="18"/>
                <w:lang w:val="hu-HU"/>
              </w:rPr>
              <w:t>lásd</w:t>
            </w:r>
            <w:r w:rsidR="00FB2267">
              <w:rPr>
                <w:rFonts w:ascii="Verdana" w:hAnsi="Verdana"/>
                <w:b w:val="0"/>
                <w:i/>
                <w:iCs/>
                <w:sz w:val="18"/>
                <w:szCs w:val="18"/>
                <w:lang w:val="hu-HU"/>
              </w:rPr>
              <w:t xml:space="preserve"> </w:t>
            </w:r>
            <w:proofErr w:type="spellStart"/>
            <w:r w:rsidRPr="006262CC">
              <w:rPr>
                <w:rFonts w:ascii="Verdana" w:hAnsi="Verdana"/>
                <w:b w:val="0"/>
                <w:i/>
                <w:iCs/>
                <w:sz w:val="18"/>
                <w:szCs w:val="18"/>
                <w:lang w:val="hu-HU"/>
              </w:rPr>
              <w:t>Aksu</w:t>
            </w:r>
            <w:proofErr w:type="spellEnd"/>
            <w:r w:rsidR="00FB2267">
              <w:rPr>
                <w:rFonts w:ascii="Verdana" w:hAnsi="Verdana"/>
                <w:b w:val="0"/>
                <w:i/>
                <w:iCs/>
                <w:sz w:val="18"/>
                <w:szCs w:val="18"/>
                <w:lang w:val="hu-HU"/>
              </w:rPr>
              <w:t xml:space="preserve"> </w:t>
            </w:r>
            <w:r w:rsidR="00C65119">
              <w:rPr>
                <w:rFonts w:ascii="Verdana" w:hAnsi="Verdana"/>
                <w:b w:val="0"/>
                <w:i/>
                <w:iCs/>
                <w:sz w:val="18"/>
                <w:szCs w:val="18"/>
                <w:lang w:val="hu-HU"/>
              </w:rPr>
              <w:t>kontra Törökország</w:t>
            </w:r>
            <w:r w:rsidRPr="006262CC">
              <w:rPr>
                <w:rFonts w:ascii="Verdana" w:hAnsi="Verdana"/>
                <w:b w:val="0"/>
                <w:i/>
                <w:iCs/>
                <w:sz w:val="18"/>
                <w:szCs w:val="18"/>
                <w:lang w:val="hu-HU"/>
              </w:rPr>
              <w:t xml:space="preserve"> [GC], 4149/04 </w:t>
            </w:r>
            <w:r w:rsidR="00C65119">
              <w:rPr>
                <w:rFonts w:ascii="Verdana" w:hAnsi="Verdana"/>
                <w:b w:val="0"/>
                <w:i/>
                <w:iCs/>
                <w:sz w:val="18"/>
                <w:szCs w:val="18"/>
                <w:lang w:val="hu-HU"/>
              </w:rPr>
              <w:t>és</w:t>
            </w:r>
            <w:r w:rsidRPr="006262CC">
              <w:rPr>
                <w:rFonts w:ascii="Verdana" w:hAnsi="Verdana"/>
                <w:b w:val="0"/>
                <w:i/>
                <w:iCs/>
                <w:sz w:val="18"/>
                <w:szCs w:val="18"/>
                <w:lang w:val="hu-HU"/>
              </w:rPr>
              <w:t xml:space="preserve"> 41029/04</w:t>
            </w:r>
            <w:r w:rsidR="00C65119">
              <w:rPr>
                <w:rFonts w:ascii="Verdana" w:hAnsi="Verdana"/>
                <w:b w:val="0"/>
                <w:i/>
                <w:iCs/>
                <w:sz w:val="18"/>
                <w:szCs w:val="18"/>
                <w:lang w:val="hu-HU"/>
              </w:rPr>
              <w:t>. sz. kérelem</w:t>
            </w:r>
            <w:r w:rsidRPr="006262CC">
              <w:rPr>
                <w:rFonts w:ascii="Verdana" w:hAnsi="Verdana"/>
                <w:b w:val="0"/>
                <w:i/>
                <w:iCs/>
                <w:sz w:val="18"/>
                <w:szCs w:val="18"/>
                <w:lang w:val="hu-HU"/>
              </w:rPr>
              <w:t>, 60</w:t>
            </w:r>
            <w:r w:rsidR="00C65119">
              <w:rPr>
                <w:rFonts w:ascii="Verdana" w:hAnsi="Verdana"/>
                <w:b w:val="0"/>
                <w:i/>
                <w:iCs/>
                <w:sz w:val="18"/>
                <w:szCs w:val="18"/>
                <w:lang w:val="hu-HU"/>
              </w:rPr>
              <w:t>. bekezdés</w:t>
            </w:r>
            <w:r w:rsidRPr="006262CC">
              <w:rPr>
                <w:rFonts w:ascii="Verdana" w:hAnsi="Verdana"/>
                <w:b w:val="0"/>
                <w:i/>
                <w:iCs/>
                <w:sz w:val="18"/>
                <w:szCs w:val="18"/>
                <w:lang w:val="hu-HU"/>
              </w:rPr>
              <w:t>, E</w:t>
            </w:r>
            <w:r w:rsidR="00C65119">
              <w:rPr>
                <w:rFonts w:ascii="Verdana" w:hAnsi="Verdana"/>
                <w:b w:val="0"/>
                <w:i/>
                <w:iCs/>
                <w:sz w:val="18"/>
                <w:szCs w:val="18"/>
                <w:lang w:val="hu-HU"/>
              </w:rPr>
              <w:t>JEB</w:t>
            </w:r>
            <w:r w:rsidRPr="006262CC">
              <w:rPr>
                <w:rFonts w:ascii="Verdana" w:hAnsi="Verdana"/>
                <w:b w:val="0"/>
                <w:i/>
                <w:iCs/>
                <w:sz w:val="18"/>
                <w:szCs w:val="18"/>
                <w:lang w:val="hu-HU"/>
              </w:rPr>
              <w:t xml:space="preserve"> 2012).</w:t>
            </w:r>
          </w:p>
          <w:p w:rsidR="00BF7CAD" w:rsidRPr="006262CC" w:rsidRDefault="00BF7CAD" w:rsidP="00BF7CAD">
            <w:pPr>
              <w:contextualSpacing/>
              <w:jc w:val="both"/>
              <w:rPr>
                <w:rFonts w:ascii="Verdana" w:hAnsi="Verdana"/>
                <w:b w:val="0"/>
                <w:i/>
                <w:iCs/>
                <w:sz w:val="18"/>
                <w:szCs w:val="18"/>
                <w:lang w:val="hu-HU"/>
              </w:rPr>
            </w:pPr>
          </w:p>
          <w:p w:rsidR="00BF7CAD" w:rsidRPr="006262CC" w:rsidRDefault="00BF7CAD" w:rsidP="00BF7CAD">
            <w:pPr>
              <w:contextualSpacing/>
              <w:jc w:val="both"/>
              <w:rPr>
                <w:rFonts w:ascii="Verdana" w:hAnsi="Verdana"/>
                <w:i/>
                <w:sz w:val="18"/>
                <w:szCs w:val="18"/>
                <w:lang w:val="hu-HU"/>
              </w:rPr>
            </w:pPr>
            <w:r w:rsidRPr="006262CC">
              <w:rPr>
                <w:rFonts w:ascii="Verdana" w:hAnsi="Verdana"/>
                <w:b w:val="0"/>
                <w:i/>
                <w:sz w:val="18"/>
                <w:szCs w:val="18"/>
                <w:lang w:val="hu-HU"/>
              </w:rPr>
              <w:t xml:space="preserve">43. </w:t>
            </w:r>
            <w:r w:rsidR="007E69EA">
              <w:rPr>
                <w:rFonts w:ascii="Verdana" w:hAnsi="Verdana"/>
                <w:b w:val="0"/>
                <w:i/>
                <w:sz w:val="18"/>
                <w:szCs w:val="18"/>
                <w:lang w:val="hu-HU"/>
              </w:rPr>
              <w:t xml:space="preserve">Rátérve a jelen ügy körülményeire, a Bíróság megjegyzi, hogy a roma kisebbség elleni kijelentések, amelyek a kérelmező Egyezmény 8. cikke szerinti panaszának alapját képezik, valójában nem váltak konkrét erőszakos fizikai cselekményekké magukkal a kérelmezőkkel szemben. </w:t>
            </w:r>
            <w:proofErr w:type="gramStart"/>
            <w:r w:rsidR="007E69EA">
              <w:rPr>
                <w:rFonts w:ascii="Verdana" w:hAnsi="Verdana"/>
                <w:b w:val="0"/>
                <w:i/>
                <w:sz w:val="18"/>
                <w:szCs w:val="18"/>
                <w:lang w:val="hu-HU"/>
              </w:rPr>
              <w:t xml:space="preserve">Mindazonáltal a Bíróság </w:t>
            </w:r>
            <w:r w:rsidR="001B7C73">
              <w:rPr>
                <w:rFonts w:ascii="Verdana" w:hAnsi="Verdana"/>
                <w:b w:val="0"/>
                <w:i/>
                <w:sz w:val="18"/>
                <w:szCs w:val="18"/>
                <w:lang w:val="hu-HU"/>
              </w:rPr>
              <w:t>úgy véli,</w:t>
            </w:r>
            <w:r w:rsidR="007E69EA">
              <w:rPr>
                <w:rFonts w:ascii="Verdana" w:hAnsi="Verdana"/>
                <w:b w:val="0"/>
                <w:i/>
                <w:sz w:val="18"/>
                <w:szCs w:val="18"/>
                <w:lang w:val="hu-HU"/>
              </w:rPr>
              <w:t xml:space="preserve"> hogy</w:t>
            </w:r>
            <w:r w:rsidR="001B7C73">
              <w:rPr>
                <w:rFonts w:ascii="Verdana" w:hAnsi="Verdana"/>
                <w:b w:val="0"/>
                <w:i/>
                <w:sz w:val="18"/>
                <w:szCs w:val="18"/>
                <w:lang w:val="hu-HU"/>
              </w:rPr>
              <w:t xml:space="preserve"> figyelembe véve</w:t>
            </w:r>
            <w:r w:rsidR="007E69EA">
              <w:rPr>
                <w:rFonts w:ascii="Verdana" w:hAnsi="Verdana"/>
                <w:b w:val="0"/>
                <w:i/>
                <w:sz w:val="18"/>
                <w:szCs w:val="18"/>
                <w:lang w:val="hu-HU"/>
              </w:rPr>
              <w:t xml:space="preserve"> a tény</w:t>
            </w:r>
            <w:r w:rsidR="00FB2267">
              <w:rPr>
                <w:rFonts w:ascii="Verdana" w:hAnsi="Verdana"/>
                <w:b w:val="0"/>
                <w:i/>
                <w:sz w:val="18"/>
                <w:szCs w:val="18"/>
                <w:lang w:val="hu-HU"/>
              </w:rPr>
              <w:t>t</w:t>
            </w:r>
            <w:r w:rsidR="007E69EA">
              <w:rPr>
                <w:rFonts w:ascii="Verdana" w:hAnsi="Verdana"/>
                <w:b w:val="0"/>
                <w:i/>
                <w:sz w:val="18"/>
                <w:szCs w:val="18"/>
                <w:lang w:val="hu-HU"/>
              </w:rPr>
              <w:t>, miszerint bizonyos erőszakos cselekményeket a tüntetők legalább egy része elkövetett, hogy a beszédeket követően a tüntetők végig</w:t>
            </w:r>
            <w:r w:rsidR="001B7C73">
              <w:rPr>
                <w:rFonts w:ascii="Verdana" w:hAnsi="Verdana"/>
                <w:b w:val="0"/>
                <w:i/>
                <w:sz w:val="18"/>
                <w:szCs w:val="18"/>
                <w:lang w:val="hu-HU"/>
              </w:rPr>
              <w:t>vonul</w:t>
            </w:r>
            <w:r w:rsidR="007E69EA">
              <w:rPr>
                <w:rFonts w:ascii="Verdana" w:hAnsi="Verdana"/>
                <w:b w:val="0"/>
                <w:i/>
                <w:sz w:val="18"/>
                <w:szCs w:val="18"/>
                <w:lang w:val="hu-HU"/>
              </w:rPr>
              <w:t>tak a roma negyedben lévő Vásárhelyi utcán (lásd 11.  bekezdés), ahol a rendőrség felszólította a lakókat, hogy ne hagyják el házaikat,</w:t>
            </w:r>
            <w:r w:rsidR="001B7C73">
              <w:rPr>
                <w:rFonts w:ascii="Verdana" w:hAnsi="Verdana"/>
                <w:b w:val="0"/>
                <w:i/>
                <w:sz w:val="18"/>
                <w:szCs w:val="18"/>
                <w:lang w:val="hu-HU"/>
              </w:rPr>
              <w:t xml:space="preserve"> és</w:t>
            </w:r>
            <w:r w:rsidR="00FB2267">
              <w:rPr>
                <w:rFonts w:ascii="Verdana" w:hAnsi="Verdana"/>
                <w:b w:val="0"/>
                <w:i/>
                <w:sz w:val="18"/>
                <w:szCs w:val="18"/>
                <w:lang w:val="hu-HU"/>
              </w:rPr>
              <w:t xml:space="preserve"> </w:t>
            </w:r>
            <w:r w:rsidR="001B7C73">
              <w:rPr>
                <w:rFonts w:ascii="Verdana" w:hAnsi="Verdana"/>
                <w:b w:val="0"/>
                <w:i/>
                <w:sz w:val="18"/>
                <w:szCs w:val="18"/>
                <w:lang w:val="hu-HU"/>
              </w:rPr>
              <w:t>hogy</w:t>
            </w:r>
            <w:r w:rsidR="007E69EA">
              <w:rPr>
                <w:rFonts w:ascii="Verdana" w:hAnsi="Verdana"/>
                <w:b w:val="0"/>
                <w:i/>
                <w:sz w:val="18"/>
                <w:szCs w:val="18"/>
                <w:lang w:val="hu-HU"/>
              </w:rPr>
              <w:t xml:space="preserve"> a tüntetők azt kiabálták, hogy később visszajönnek, minden, a tüntetés során elhangzó fenyegetés felkeltette volna a kérelmezőkben az erőszaktól és megaláztatástól való megalapozott félelmet.</w:t>
            </w:r>
            <w:proofErr w:type="gramEnd"/>
            <w:r w:rsidR="007E69EA">
              <w:rPr>
                <w:rFonts w:ascii="Verdana" w:hAnsi="Verdana"/>
                <w:b w:val="0"/>
                <w:i/>
                <w:sz w:val="18"/>
                <w:szCs w:val="18"/>
                <w:lang w:val="hu-HU"/>
              </w:rPr>
              <w:t xml:space="preserve"> Továbbá, a nyíltan roma-ellenes tüntetés olyan településen zajlott, ahol korábban voltak mér feszültségek a roma és nemroma lakosok között (lásd 6. bekezdés). Végül a fenyegetéseket azért intézték Devecser lakóihoz, mert egy etnikai kisebbséghez tartoznak, amely szükségszerűen hatással volt a csoport tagjainak önértékelés</w:t>
            </w:r>
            <w:r w:rsidR="00CD641B">
              <w:rPr>
                <w:rFonts w:ascii="Verdana" w:hAnsi="Verdana"/>
                <w:b w:val="0"/>
                <w:i/>
                <w:sz w:val="18"/>
                <w:szCs w:val="18"/>
                <w:lang w:val="hu-HU"/>
              </w:rPr>
              <w:t>ére és önbizalmára is, beleér</w:t>
            </w:r>
            <w:r w:rsidR="00FB2267">
              <w:rPr>
                <w:rFonts w:ascii="Verdana" w:hAnsi="Verdana"/>
                <w:b w:val="0"/>
                <w:i/>
                <w:sz w:val="18"/>
                <w:szCs w:val="18"/>
                <w:lang w:val="hu-HU"/>
              </w:rPr>
              <w:t>t</w:t>
            </w:r>
            <w:r w:rsidR="00CD641B">
              <w:rPr>
                <w:rFonts w:ascii="Verdana" w:hAnsi="Verdana"/>
                <w:b w:val="0"/>
                <w:i/>
                <w:sz w:val="18"/>
                <w:szCs w:val="18"/>
                <w:lang w:val="hu-HU"/>
              </w:rPr>
              <w:t xml:space="preserve">ve a kérelmezőket is. Nagyobb általánosságban, </w:t>
            </w:r>
            <w:r w:rsidR="001B7C73">
              <w:rPr>
                <w:rFonts w:ascii="Verdana" w:hAnsi="Verdana"/>
                <w:b w:val="0"/>
                <w:i/>
                <w:sz w:val="18"/>
                <w:szCs w:val="18"/>
                <w:lang w:val="hu-HU"/>
              </w:rPr>
              <w:t>ahogyan azt</w:t>
            </w:r>
            <w:r w:rsidR="00CD641B">
              <w:rPr>
                <w:rFonts w:ascii="Verdana" w:hAnsi="Verdana"/>
                <w:b w:val="0"/>
                <w:i/>
                <w:sz w:val="18"/>
                <w:szCs w:val="18"/>
                <w:lang w:val="hu-HU"/>
              </w:rPr>
              <w:t xml:space="preserve"> a Bíróság korábban a 11. cikkel kapcsolatban</w:t>
            </w:r>
            <w:r w:rsidR="001B7C73">
              <w:rPr>
                <w:rFonts w:ascii="Verdana" w:hAnsi="Verdana"/>
                <w:b w:val="0"/>
                <w:i/>
                <w:sz w:val="18"/>
                <w:szCs w:val="18"/>
                <w:lang w:val="hu-HU"/>
              </w:rPr>
              <w:t xml:space="preserve"> már megállapította</w:t>
            </w:r>
            <w:r w:rsidR="00CD641B">
              <w:rPr>
                <w:rFonts w:ascii="Verdana" w:hAnsi="Verdana"/>
                <w:b w:val="0"/>
                <w:i/>
                <w:sz w:val="18"/>
                <w:szCs w:val="18"/>
                <w:lang w:val="hu-HU"/>
              </w:rPr>
              <w:t>, amennyiben egy társaság olyan félkatonai tüntetés eszközével él, amely hangsúlyozza a faji megosztottságot és implicit módon faji alapú cselekményekre szólít fel,</w:t>
            </w:r>
            <w:r w:rsidR="001B7C73">
              <w:rPr>
                <w:rFonts w:ascii="Verdana" w:hAnsi="Verdana"/>
                <w:b w:val="0"/>
                <w:i/>
                <w:sz w:val="18"/>
                <w:szCs w:val="18"/>
                <w:lang w:val="hu-HU"/>
              </w:rPr>
              <w:t xml:space="preserve"> az</w:t>
            </w:r>
            <w:r w:rsidR="00CD641B">
              <w:rPr>
                <w:rFonts w:ascii="Verdana" w:hAnsi="Verdana"/>
                <w:b w:val="0"/>
                <w:i/>
                <w:sz w:val="18"/>
                <w:szCs w:val="18"/>
                <w:lang w:val="hu-HU"/>
              </w:rPr>
              <w:t xml:space="preserve"> mindenképpen megfélemlítő hatású egy etnikai kisebbség tagjaira, </w:t>
            </w:r>
            <w:proofErr w:type="gramStart"/>
            <w:r w:rsidR="00CD641B">
              <w:rPr>
                <w:rFonts w:ascii="Verdana" w:hAnsi="Verdana"/>
                <w:b w:val="0"/>
                <w:i/>
                <w:sz w:val="18"/>
                <w:szCs w:val="18"/>
                <w:lang w:val="hu-HU"/>
              </w:rPr>
              <w:t>különösen</w:t>
            </w:r>
            <w:proofErr w:type="gramEnd"/>
            <w:r w:rsidR="00CD641B">
              <w:rPr>
                <w:rFonts w:ascii="Verdana" w:hAnsi="Verdana"/>
                <w:b w:val="0"/>
                <w:i/>
                <w:sz w:val="18"/>
                <w:szCs w:val="18"/>
                <w:lang w:val="hu-HU"/>
              </w:rPr>
              <w:t xml:space="preserve"> amikor az otthonaikban vannak és így </w:t>
            </w:r>
            <w:r w:rsidR="00064F9C">
              <w:rPr>
                <w:rFonts w:ascii="Verdana" w:hAnsi="Verdana"/>
                <w:b w:val="0"/>
                <w:i/>
                <w:sz w:val="18"/>
                <w:szCs w:val="18"/>
                <w:lang w:val="hu-HU"/>
              </w:rPr>
              <w:t>k</w:t>
            </w:r>
            <w:proofErr w:type="spellStart"/>
            <w:r w:rsidR="00064F9C">
              <w:rPr>
                <w:rFonts w:ascii="Verdana" w:hAnsi="Verdana"/>
                <w:b w:val="0"/>
                <w:i/>
                <w:sz w:val="18"/>
                <w:szCs w:val="18"/>
              </w:rPr>
              <w:t>ényszerű</w:t>
            </w:r>
            <w:proofErr w:type="spellEnd"/>
            <w:r w:rsidR="00CD641B">
              <w:rPr>
                <w:rFonts w:ascii="Verdana" w:hAnsi="Verdana"/>
                <w:b w:val="0"/>
                <w:i/>
                <w:sz w:val="18"/>
                <w:szCs w:val="18"/>
                <w:lang w:val="hu-HU"/>
              </w:rPr>
              <w:t xml:space="preserve"> közönséget alkotnak </w:t>
            </w:r>
            <w:r w:rsidRPr="006262CC">
              <w:rPr>
                <w:rFonts w:ascii="Verdana" w:hAnsi="Verdana"/>
                <w:b w:val="0"/>
                <w:i/>
                <w:sz w:val="18"/>
                <w:szCs w:val="18"/>
                <w:lang w:val="hu-HU"/>
              </w:rPr>
              <w:t>(</w:t>
            </w:r>
            <w:proofErr w:type="spellStart"/>
            <w:r w:rsidR="00CD641B">
              <w:rPr>
                <w:rFonts w:ascii="Verdana" w:hAnsi="Verdana"/>
                <w:b w:val="0"/>
                <w:i/>
                <w:sz w:val="18"/>
                <w:szCs w:val="18"/>
                <w:lang w:val="hu-HU"/>
              </w:rPr>
              <w:t>lásd</w:t>
            </w:r>
            <w:r w:rsidRPr="006262CC">
              <w:rPr>
                <w:rFonts w:ascii="Verdana" w:hAnsi="Verdana"/>
                <w:b w:val="0"/>
                <w:i/>
                <w:iCs/>
                <w:sz w:val="18"/>
                <w:szCs w:val="18"/>
                <w:lang w:val="hu-HU"/>
              </w:rPr>
              <w:t>Vona</w:t>
            </w:r>
            <w:proofErr w:type="spellEnd"/>
            <w:r w:rsidRPr="006262CC">
              <w:rPr>
                <w:rFonts w:ascii="Verdana" w:hAnsi="Verdana"/>
                <w:b w:val="0"/>
                <w:i/>
                <w:iCs/>
                <w:sz w:val="18"/>
                <w:szCs w:val="18"/>
                <w:lang w:val="hu-HU"/>
              </w:rPr>
              <w:t xml:space="preserve"> </w:t>
            </w:r>
            <w:r w:rsidR="00CD641B">
              <w:rPr>
                <w:rFonts w:ascii="Verdana" w:hAnsi="Verdana"/>
                <w:b w:val="0"/>
                <w:i/>
                <w:iCs/>
                <w:sz w:val="18"/>
                <w:szCs w:val="18"/>
                <w:lang w:val="hu-HU"/>
              </w:rPr>
              <w:t>kontra Magyarország</w:t>
            </w:r>
            <w:r w:rsidRPr="006262CC">
              <w:rPr>
                <w:rFonts w:ascii="Verdana" w:hAnsi="Verdana"/>
                <w:b w:val="0"/>
                <w:i/>
                <w:sz w:val="18"/>
                <w:szCs w:val="18"/>
                <w:lang w:val="hu-HU"/>
              </w:rPr>
              <w:t>,35943/10</w:t>
            </w:r>
            <w:r w:rsidR="00CD641B">
              <w:rPr>
                <w:rFonts w:ascii="Verdana" w:hAnsi="Verdana"/>
                <w:b w:val="0"/>
                <w:i/>
                <w:sz w:val="18"/>
                <w:szCs w:val="18"/>
                <w:lang w:val="hu-HU"/>
              </w:rPr>
              <w:t xml:space="preserve"> sz. kérelem</w:t>
            </w:r>
            <w:r w:rsidRPr="006262CC">
              <w:rPr>
                <w:rFonts w:ascii="Verdana" w:hAnsi="Verdana"/>
                <w:b w:val="0"/>
                <w:i/>
                <w:sz w:val="18"/>
                <w:szCs w:val="18"/>
                <w:lang w:val="hu-HU"/>
              </w:rPr>
              <w:t>, 66</w:t>
            </w:r>
            <w:r w:rsidR="00CD641B">
              <w:rPr>
                <w:rFonts w:ascii="Verdana" w:hAnsi="Verdana"/>
                <w:b w:val="0"/>
                <w:i/>
                <w:sz w:val="18"/>
                <w:szCs w:val="18"/>
                <w:lang w:val="hu-HU"/>
              </w:rPr>
              <w:t>. bekezdés</w:t>
            </w:r>
            <w:r w:rsidRPr="006262CC">
              <w:rPr>
                <w:rFonts w:ascii="Verdana" w:hAnsi="Verdana"/>
                <w:b w:val="0"/>
                <w:i/>
                <w:sz w:val="18"/>
                <w:szCs w:val="18"/>
                <w:lang w:val="hu-HU"/>
              </w:rPr>
              <w:t>, E</w:t>
            </w:r>
            <w:r w:rsidR="00CD641B">
              <w:rPr>
                <w:rFonts w:ascii="Verdana" w:hAnsi="Verdana"/>
                <w:b w:val="0"/>
                <w:i/>
                <w:sz w:val="18"/>
                <w:szCs w:val="18"/>
                <w:lang w:val="hu-HU"/>
              </w:rPr>
              <w:t>JEB</w:t>
            </w:r>
            <w:r w:rsidRPr="006262CC">
              <w:rPr>
                <w:rFonts w:ascii="Verdana" w:hAnsi="Verdana"/>
                <w:b w:val="0"/>
                <w:i/>
                <w:sz w:val="18"/>
                <w:szCs w:val="18"/>
                <w:lang w:val="hu-HU"/>
              </w:rPr>
              <w:t xml:space="preserve"> 2013). </w:t>
            </w:r>
            <w:r w:rsidR="00CD641B" w:rsidRPr="00CD641B">
              <w:rPr>
                <w:rFonts w:ascii="Verdana" w:hAnsi="Verdana"/>
                <w:i/>
                <w:sz w:val="18"/>
                <w:szCs w:val="18"/>
                <w:lang w:val="hu-HU"/>
              </w:rPr>
              <w:t>A Bíróság megítélése szerint ezek az elemek elégségesek ahhoz, hogy</w:t>
            </w:r>
            <w:r w:rsidR="00FB2267">
              <w:rPr>
                <w:rFonts w:ascii="Verdana" w:hAnsi="Verdana"/>
                <w:i/>
                <w:sz w:val="18"/>
                <w:szCs w:val="18"/>
                <w:lang w:val="hu-HU"/>
              </w:rPr>
              <w:t xml:space="preserve"> hatást gyakoroljanak</w:t>
            </w:r>
            <w:r w:rsidR="00CD641B" w:rsidRPr="00CD641B">
              <w:rPr>
                <w:rFonts w:ascii="Verdana" w:hAnsi="Verdana"/>
                <w:i/>
                <w:sz w:val="18"/>
                <w:szCs w:val="18"/>
                <w:lang w:val="hu-HU"/>
              </w:rPr>
              <w:t xml:space="preserve"> a kérelmezők lelki egészségé</w:t>
            </w:r>
            <w:r w:rsidR="00FB2267">
              <w:rPr>
                <w:rFonts w:ascii="Verdana" w:hAnsi="Verdana"/>
                <w:i/>
                <w:sz w:val="18"/>
                <w:szCs w:val="18"/>
                <w:lang w:val="hu-HU"/>
              </w:rPr>
              <w:t>re</w:t>
            </w:r>
            <w:r w:rsidR="00CD641B" w:rsidRPr="00CD641B">
              <w:rPr>
                <w:rFonts w:ascii="Verdana" w:hAnsi="Verdana"/>
                <w:i/>
                <w:sz w:val="18"/>
                <w:szCs w:val="18"/>
                <w:lang w:val="hu-HU"/>
              </w:rPr>
              <w:t xml:space="preserve"> és etnikai identitásá</w:t>
            </w:r>
            <w:r w:rsidR="00FB2267">
              <w:rPr>
                <w:rFonts w:ascii="Verdana" w:hAnsi="Verdana"/>
                <w:i/>
                <w:sz w:val="18"/>
                <w:szCs w:val="18"/>
                <w:lang w:val="hu-HU"/>
              </w:rPr>
              <w:t>ra</w:t>
            </w:r>
            <w:r w:rsidR="00CD641B" w:rsidRPr="00CD641B">
              <w:rPr>
                <w:rFonts w:ascii="Verdana" w:hAnsi="Verdana"/>
                <w:i/>
                <w:sz w:val="18"/>
                <w:szCs w:val="18"/>
                <w:lang w:val="hu-HU"/>
              </w:rPr>
              <w:t xml:space="preserve"> az Egyezmény 8. cikke értelmében. </w:t>
            </w:r>
          </w:p>
        </w:tc>
      </w:tr>
    </w:tbl>
    <w:p w:rsidR="001406E9" w:rsidRPr="006262CC" w:rsidRDefault="001406E9" w:rsidP="00BF7CAD">
      <w:pPr>
        <w:jc w:val="both"/>
        <w:rPr>
          <w:rFonts w:ascii="Times New Roman" w:hAnsi="Times New Roman" w:cs="Times New Roman"/>
          <w:iCs/>
          <w:szCs w:val="24"/>
        </w:rPr>
      </w:pPr>
    </w:p>
    <w:p w:rsidR="00BF7CAD" w:rsidRPr="000C29F0" w:rsidRDefault="001406E9" w:rsidP="001406E9">
      <w:pPr>
        <w:pStyle w:val="Cmsor2"/>
        <w:rPr>
          <w:lang w:eastAsia="en-US"/>
        </w:rPr>
      </w:pPr>
      <w:bookmarkStart w:id="7" w:name="_Toc515458776"/>
      <w:r w:rsidRPr="000C29F0">
        <w:rPr>
          <w:lang w:eastAsia="en-US"/>
        </w:rPr>
        <w:t>2</w:t>
      </w:r>
      <w:r w:rsidR="00BF7CAD" w:rsidRPr="000C29F0">
        <w:rPr>
          <w:lang w:eastAsia="en-US"/>
        </w:rPr>
        <w:t xml:space="preserve">.2 </w:t>
      </w:r>
      <w:r w:rsidR="000C29F0">
        <w:rPr>
          <w:lang w:eastAsia="en-US"/>
        </w:rPr>
        <w:t>A társadalomra gyakorolt hatások</w:t>
      </w:r>
      <w:bookmarkEnd w:id="7"/>
    </w:p>
    <w:p w:rsidR="001B0532" w:rsidRPr="000C29F0" w:rsidRDefault="001B0532" w:rsidP="00BF7CAD">
      <w:pPr>
        <w:jc w:val="both"/>
        <w:rPr>
          <w:rFonts w:ascii="Times New Roman" w:hAnsi="Times New Roman" w:cs="Times New Roman"/>
          <w:i/>
          <w:iCs/>
          <w:color w:val="808080" w:themeColor="text1" w:themeTint="7F"/>
          <w:szCs w:val="24"/>
        </w:rPr>
      </w:pPr>
    </w:p>
    <w:p w:rsidR="00BF7CAD" w:rsidRPr="000C29F0" w:rsidRDefault="000C29F0" w:rsidP="00BD2A7A">
      <w:pPr>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Ahogyan korábban is említettük, ha az állam képes kezelni a gyűlölet-bűncselekményeket, az megerősíti a </w:t>
      </w:r>
      <w:r w:rsidR="00857625">
        <w:rPr>
          <w:rFonts w:ascii="Times New Roman" w:hAnsi="Times New Roman" w:cs="Times New Roman"/>
          <w:iCs/>
          <w:sz w:val="24"/>
          <w:szCs w:val="24"/>
        </w:rPr>
        <w:t>célba vett</w:t>
      </w:r>
      <w:r>
        <w:rPr>
          <w:rFonts w:ascii="Times New Roman" w:hAnsi="Times New Roman" w:cs="Times New Roman"/>
          <w:iCs/>
          <w:sz w:val="24"/>
          <w:szCs w:val="24"/>
        </w:rPr>
        <w:t xml:space="preserve"> közösség</w:t>
      </w:r>
      <w:r w:rsidR="00857625">
        <w:rPr>
          <w:rFonts w:ascii="Times New Roman" w:hAnsi="Times New Roman" w:cs="Times New Roman"/>
          <w:iCs/>
          <w:sz w:val="24"/>
          <w:szCs w:val="24"/>
        </w:rPr>
        <w:t xml:space="preserve"> igazságszolgáltatás rendszerbe vetett</w:t>
      </w:r>
      <w:r>
        <w:rPr>
          <w:rFonts w:ascii="Times New Roman" w:hAnsi="Times New Roman" w:cs="Times New Roman"/>
          <w:iCs/>
          <w:sz w:val="24"/>
          <w:szCs w:val="24"/>
        </w:rPr>
        <w:t xml:space="preserve"> bizalmát. Ahogy az könnyen belátható, ennek természetesen az ellenkezője is igaz. A gyűlölet-bűncselekmények kezelésére szolgáló intézkedések hiánya önmagában is kiábrándultságot teremt</w:t>
      </w:r>
      <w:r w:rsidR="008D37C2">
        <w:rPr>
          <w:rFonts w:ascii="Times New Roman" w:hAnsi="Times New Roman" w:cs="Times New Roman"/>
          <w:iCs/>
          <w:sz w:val="24"/>
          <w:szCs w:val="24"/>
        </w:rPr>
        <w:t>,</w:t>
      </w:r>
      <w:r>
        <w:rPr>
          <w:rFonts w:ascii="Times New Roman" w:hAnsi="Times New Roman" w:cs="Times New Roman"/>
          <w:iCs/>
          <w:sz w:val="24"/>
          <w:szCs w:val="24"/>
        </w:rPr>
        <w:t xml:space="preserve"> és kétkedést ébreszt, hogy az állam képes-e megvédeni egyes társadalmi csoportokat. Ez viszont számos katasztrofális következménnyel járhat a társadalom egésze számára két fő</w:t>
      </w:r>
      <w:r w:rsidR="001B7C73">
        <w:rPr>
          <w:rFonts w:ascii="Times New Roman" w:hAnsi="Times New Roman" w:cs="Times New Roman"/>
          <w:iCs/>
          <w:sz w:val="24"/>
          <w:szCs w:val="24"/>
        </w:rPr>
        <w:t xml:space="preserve"> szempontból</w:t>
      </w:r>
      <w:r>
        <w:rPr>
          <w:rFonts w:ascii="Times New Roman" w:hAnsi="Times New Roman" w:cs="Times New Roman"/>
          <w:iCs/>
          <w:sz w:val="24"/>
          <w:szCs w:val="24"/>
        </w:rPr>
        <w:t>.</w:t>
      </w:r>
    </w:p>
    <w:p w:rsidR="00BF7CAD" w:rsidRPr="000C29F0" w:rsidRDefault="000C29F0" w:rsidP="00BD2A7A">
      <w:pPr>
        <w:ind w:firstLine="360"/>
        <w:jc w:val="both"/>
        <w:rPr>
          <w:rFonts w:ascii="Times New Roman" w:hAnsi="Times New Roman" w:cs="Times New Roman"/>
          <w:iCs/>
          <w:sz w:val="24"/>
          <w:szCs w:val="24"/>
        </w:rPr>
      </w:pPr>
      <w:r>
        <w:rPr>
          <w:rFonts w:ascii="Times New Roman" w:hAnsi="Times New Roman" w:cs="Times New Roman"/>
          <w:iCs/>
          <w:sz w:val="24"/>
          <w:szCs w:val="24"/>
        </w:rPr>
        <w:t>Először, ez a hiány létrehozza a nem egyenlőek társadalmát, ahol egyesek</w:t>
      </w:r>
      <w:r w:rsidR="00B756A5">
        <w:rPr>
          <w:rFonts w:ascii="Times New Roman" w:hAnsi="Times New Roman" w:cs="Times New Roman"/>
          <w:iCs/>
          <w:sz w:val="24"/>
          <w:szCs w:val="24"/>
        </w:rPr>
        <w:t xml:space="preserve"> a</w:t>
      </w:r>
      <w:r>
        <w:rPr>
          <w:rFonts w:ascii="Times New Roman" w:hAnsi="Times New Roman" w:cs="Times New Roman"/>
          <w:iCs/>
          <w:sz w:val="24"/>
          <w:szCs w:val="24"/>
        </w:rPr>
        <w:t xml:space="preserve"> gondolat</w:t>
      </w:r>
      <w:r w:rsidR="00B756A5">
        <w:rPr>
          <w:rFonts w:ascii="Times New Roman" w:hAnsi="Times New Roman" w:cs="Times New Roman"/>
          <w:iCs/>
          <w:sz w:val="24"/>
          <w:szCs w:val="24"/>
        </w:rPr>
        <w:t xml:space="preserve">, a lelkiismeret és a vallás </w:t>
      </w:r>
      <w:r>
        <w:rPr>
          <w:rFonts w:ascii="Times New Roman" w:hAnsi="Times New Roman" w:cs="Times New Roman"/>
          <w:iCs/>
          <w:sz w:val="24"/>
          <w:szCs w:val="24"/>
        </w:rPr>
        <w:t>szabads</w:t>
      </w:r>
      <w:r w:rsidR="00B756A5">
        <w:rPr>
          <w:rFonts w:ascii="Times New Roman" w:hAnsi="Times New Roman" w:cs="Times New Roman"/>
          <w:iCs/>
          <w:sz w:val="24"/>
          <w:szCs w:val="24"/>
        </w:rPr>
        <w:t>ágához fűződő jogait vagy például szólásszabadságát</w:t>
      </w:r>
      <w:r w:rsidR="00B756A5" w:rsidRPr="000C29F0">
        <w:rPr>
          <w:rFonts w:ascii="Times New Roman" w:hAnsi="Times New Roman" w:cs="Times New Roman"/>
          <w:iCs/>
          <w:sz w:val="24"/>
          <w:szCs w:val="24"/>
          <w:vertAlign w:val="superscript"/>
        </w:rPr>
        <w:footnoteReference w:id="25"/>
      </w:r>
      <w:r w:rsidR="00B8426B">
        <w:rPr>
          <w:rFonts w:ascii="Times New Roman" w:hAnsi="Times New Roman" w:cs="Times New Roman"/>
          <w:iCs/>
          <w:sz w:val="24"/>
          <w:szCs w:val="24"/>
        </w:rPr>
        <w:t xml:space="preserve"> </w:t>
      </w:r>
      <w:r w:rsidR="00B756A5">
        <w:rPr>
          <w:rFonts w:ascii="Times New Roman" w:hAnsi="Times New Roman" w:cs="Times New Roman"/>
          <w:iCs/>
          <w:sz w:val="24"/>
          <w:szCs w:val="24"/>
        </w:rPr>
        <w:t xml:space="preserve">megsértik. Ez szöges ellentétben áll </w:t>
      </w:r>
      <w:r w:rsidR="001B7C73">
        <w:rPr>
          <w:rFonts w:ascii="Times New Roman" w:hAnsi="Times New Roman" w:cs="Times New Roman"/>
          <w:iCs/>
          <w:sz w:val="24"/>
          <w:szCs w:val="24"/>
        </w:rPr>
        <w:t xml:space="preserve">az </w:t>
      </w:r>
      <w:r w:rsidR="00B756A5">
        <w:rPr>
          <w:rFonts w:ascii="Times New Roman" w:hAnsi="Times New Roman" w:cs="Times New Roman"/>
          <w:iCs/>
          <w:sz w:val="24"/>
          <w:szCs w:val="24"/>
        </w:rPr>
        <w:t xml:space="preserve">érvényben lévő európai és nemzetközi </w:t>
      </w:r>
      <w:r w:rsidR="00B8426B">
        <w:rPr>
          <w:rFonts w:ascii="Times New Roman" w:hAnsi="Times New Roman" w:cs="Times New Roman"/>
          <w:iCs/>
          <w:sz w:val="24"/>
          <w:szCs w:val="24"/>
        </w:rPr>
        <w:t>kötelezettségekkel</w:t>
      </w:r>
      <w:r w:rsidR="00B756A5">
        <w:rPr>
          <w:rFonts w:ascii="Times New Roman" w:hAnsi="Times New Roman" w:cs="Times New Roman"/>
          <w:iCs/>
          <w:sz w:val="24"/>
          <w:szCs w:val="24"/>
        </w:rPr>
        <w:t>.</w:t>
      </w:r>
    </w:p>
    <w:p w:rsidR="00BF7CAD" w:rsidRPr="000C29F0" w:rsidRDefault="004E67BF" w:rsidP="00BF7CAD">
      <w:pPr>
        <w:numPr>
          <w:ilvl w:val="0"/>
          <w:numId w:val="2"/>
        </w:numPr>
        <w:contextualSpacing/>
        <w:jc w:val="both"/>
        <w:rPr>
          <w:rFonts w:ascii="Times New Roman" w:hAnsi="Times New Roman" w:cs="Times New Roman"/>
          <w:color w:val="000000"/>
          <w:sz w:val="20"/>
          <w:szCs w:val="16"/>
        </w:rPr>
      </w:pPr>
      <w:r w:rsidRPr="004E67BF">
        <w:rPr>
          <w:rFonts w:ascii="Times New Roman" w:hAnsi="Times New Roman" w:cs="Times New Roman"/>
          <w:color w:val="000000"/>
          <w:szCs w:val="16"/>
        </w:rPr>
        <w:lastRenderedPageBreak/>
        <w:t>A jelen Egyezményben meghatározott jogok és szabadságok élvezetét minden megkülönböztetés, például nem, faj, szín, nyelv, vallás, politikai vagy egyéb vélemény, nemzeti vagy társadalmi származás, nemzeti kisebbséghez tartozás, vagyoni helyzet, születés szerinti vagy egyéb helyzet alapján történő megkülönböztetés nélkül kell biztosítani.</w:t>
      </w:r>
      <w:r w:rsidR="00BF7CAD" w:rsidRPr="000C29F0">
        <w:rPr>
          <w:rFonts w:ascii="Times New Roman" w:hAnsi="Times New Roman" w:cs="Times New Roman"/>
          <w:color w:val="000000"/>
          <w:sz w:val="20"/>
          <w:szCs w:val="16"/>
          <w:vertAlign w:val="superscript"/>
        </w:rPr>
        <w:footnoteReference w:id="26"/>
      </w:r>
    </w:p>
    <w:p w:rsidR="00BF7CAD" w:rsidRPr="004E67BF" w:rsidRDefault="004E67BF" w:rsidP="004E67BF">
      <w:pPr>
        <w:numPr>
          <w:ilvl w:val="0"/>
          <w:numId w:val="2"/>
        </w:numPr>
        <w:contextualSpacing/>
        <w:jc w:val="both"/>
        <w:rPr>
          <w:rFonts w:ascii="Times New Roman" w:hAnsi="Times New Roman" w:cs="Times New Roman"/>
          <w:color w:val="000000"/>
          <w:szCs w:val="16"/>
        </w:rPr>
      </w:pPr>
      <w:r w:rsidRPr="004E67BF">
        <w:rPr>
          <w:rFonts w:ascii="Times New Roman" w:hAnsi="Times New Roman" w:cs="Times New Roman"/>
          <w:color w:val="000000"/>
          <w:szCs w:val="16"/>
        </w:rPr>
        <w:t>Mindenki, bármely megkülönböztetésre, nevezetesen fajra, színre, nemre, nyelvre, vallásra, politikai vagy bármely más véleményre, nemzeti vagy társadalmi eredetre, vagyonra, születésre, vagy bármely más körülményre való tekintet nélkül hivatkozhat a jelen Nyilatkozatban kinyilvánított összes jogokra és szabadságokra.</w:t>
      </w:r>
      <w:r w:rsidR="00B8426B">
        <w:rPr>
          <w:rFonts w:ascii="Times New Roman" w:hAnsi="Times New Roman" w:cs="Times New Roman"/>
          <w:color w:val="000000"/>
          <w:szCs w:val="16"/>
        </w:rPr>
        <w:t xml:space="preserve"> </w:t>
      </w:r>
      <w:proofErr w:type="gramStart"/>
      <w:r w:rsidRPr="004E67BF">
        <w:rPr>
          <w:rFonts w:ascii="Times New Roman" w:hAnsi="Times New Roman" w:cs="Times New Roman"/>
          <w:color w:val="000000"/>
          <w:szCs w:val="16"/>
        </w:rPr>
        <w:t>Ezenfelül</w:t>
      </w:r>
      <w:proofErr w:type="gramEnd"/>
      <w:r w:rsidRPr="004E67BF">
        <w:rPr>
          <w:rFonts w:ascii="Times New Roman" w:hAnsi="Times New Roman" w:cs="Times New Roman"/>
          <w:color w:val="000000"/>
          <w:szCs w:val="16"/>
        </w:rPr>
        <w:t xml:space="preserve"> nem lehet semmiféle megkülönböztetést tenni annak az országnak, vagy területnek politikai, jogi vagy nemzetközi helyzete alapján sem, amelynek a személy állampolgára, aszerint, hogy az illető ország vagy terület független, gyámság alatt áll, nem autonóm vagy szuverenitása bármely vonatkozásban korlátozott.</w:t>
      </w:r>
      <w:r w:rsidR="00BF7CAD" w:rsidRPr="000C29F0">
        <w:rPr>
          <w:rFonts w:ascii="Times New Roman" w:hAnsi="Times New Roman" w:cs="Times New Roman"/>
          <w:iCs/>
          <w:szCs w:val="24"/>
          <w:vertAlign w:val="superscript"/>
        </w:rPr>
        <w:footnoteReference w:id="27"/>
      </w:r>
    </w:p>
    <w:p w:rsidR="001B0532" w:rsidRPr="000C29F0" w:rsidRDefault="001B0532" w:rsidP="001B0532">
      <w:pPr>
        <w:contextualSpacing/>
        <w:jc w:val="both"/>
        <w:rPr>
          <w:rFonts w:ascii="Times New Roman" w:hAnsi="Times New Roman" w:cs="Times New Roman"/>
          <w:iCs/>
          <w:szCs w:val="24"/>
        </w:rPr>
      </w:pPr>
    </w:p>
    <w:p w:rsidR="00BF7CAD" w:rsidRPr="000C29F0" w:rsidRDefault="00B756A5" w:rsidP="00691E16">
      <w:pPr>
        <w:ind w:firstLine="360"/>
        <w:jc w:val="both"/>
        <w:rPr>
          <w:rFonts w:ascii="Times New Roman" w:hAnsi="Times New Roman" w:cs="Times New Roman"/>
          <w:iCs/>
          <w:sz w:val="24"/>
          <w:szCs w:val="24"/>
        </w:rPr>
      </w:pPr>
      <w:r>
        <w:rPr>
          <w:rFonts w:ascii="Times New Roman" w:hAnsi="Times New Roman" w:cs="Times New Roman"/>
          <w:iCs/>
          <w:sz w:val="24"/>
          <w:szCs w:val="24"/>
        </w:rPr>
        <w:t xml:space="preserve">Ezért van a </w:t>
      </w:r>
      <w:r w:rsidR="00A70C6D">
        <w:rPr>
          <w:rFonts w:ascii="Times New Roman" w:hAnsi="Times New Roman" w:cs="Times New Roman"/>
          <w:iCs/>
          <w:sz w:val="24"/>
          <w:szCs w:val="24"/>
        </w:rPr>
        <w:t>gyűlölet-bűncselekmény</w:t>
      </w:r>
      <w:r>
        <w:rPr>
          <w:rFonts w:ascii="Times New Roman" w:hAnsi="Times New Roman" w:cs="Times New Roman"/>
          <w:iCs/>
          <w:sz w:val="24"/>
          <w:szCs w:val="24"/>
        </w:rPr>
        <w:t>ek kezelésének ilyen hatalmas szimbolikus jelentősége.</w:t>
      </w:r>
      <w:r w:rsidR="00BF7CAD" w:rsidRPr="000C29F0">
        <w:rPr>
          <w:rFonts w:ascii="Times New Roman" w:hAnsi="Times New Roman" w:cs="Times New Roman"/>
          <w:iCs/>
          <w:sz w:val="24"/>
          <w:szCs w:val="24"/>
          <w:vertAlign w:val="superscript"/>
        </w:rPr>
        <w:footnoteReference w:id="28"/>
      </w:r>
      <w:r w:rsidR="00B8426B">
        <w:rPr>
          <w:rFonts w:ascii="Times New Roman" w:hAnsi="Times New Roman" w:cs="Times New Roman"/>
          <w:iCs/>
          <w:sz w:val="24"/>
          <w:szCs w:val="24"/>
        </w:rPr>
        <w:t xml:space="preserve"> </w:t>
      </w:r>
      <w:r>
        <w:rPr>
          <w:rFonts w:ascii="Times New Roman" w:hAnsi="Times New Roman" w:cs="Times New Roman"/>
          <w:iCs/>
          <w:sz w:val="24"/>
          <w:szCs w:val="24"/>
        </w:rPr>
        <w:t xml:space="preserve">Ennek elmulasztása a gyakorlatban elterjesztheti azt a nézetet, hogy az érvényben lévő </w:t>
      </w:r>
      <w:r w:rsidR="00B8426B">
        <w:rPr>
          <w:rFonts w:ascii="Times New Roman" w:hAnsi="Times New Roman" w:cs="Times New Roman"/>
          <w:iCs/>
          <w:sz w:val="24"/>
          <w:szCs w:val="24"/>
        </w:rPr>
        <w:t>szabályok</w:t>
      </w:r>
      <w:r>
        <w:rPr>
          <w:rFonts w:ascii="Times New Roman" w:hAnsi="Times New Roman" w:cs="Times New Roman"/>
          <w:iCs/>
          <w:sz w:val="24"/>
          <w:szCs w:val="24"/>
        </w:rPr>
        <w:t xml:space="preserve"> nem mindenkire vonatkoznak, és éppen ezért </w:t>
      </w:r>
      <w:r w:rsidR="00331F7F">
        <w:rPr>
          <w:rFonts w:ascii="Times New Roman" w:hAnsi="Times New Roman" w:cs="Times New Roman"/>
          <w:iCs/>
          <w:sz w:val="24"/>
          <w:szCs w:val="24"/>
        </w:rPr>
        <w:t xml:space="preserve">alapvető jellemzőjük a diszkrimináció. Más szóval a gyűlölet-bűncselekmények megfelelő kezelésének elmulasztása annak a szimbóluma, hogy a társadalom bizonyos szegmenseiről van szó, akkor a </w:t>
      </w:r>
      <w:r w:rsidR="00B8426B">
        <w:rPr>
          <w:rFonts w:ascii="Times New Roman" w:hAnsi="Times New Roman" w:cs="Times New Roman"/>
          <w:iCs/>
          <w:sz w:val="24"/>
          <w:szCs w:val="24"/>
        </w:rPr>
        <w:t>fennálló szabályok</w:t>
      </w:r>
      <w:r w:rsidR="00331F7F">
        <w:rPr>
          <w:rFonts w:ascii="Times New Roman" w:hAnsi="Times New Roman" w:cs="Times New Roman"/>
          <w:iCs/>
          <w:sz w:val="24"/>
          <w:szCs w:val="24"/>
        </w:rPr>
        <w:t xml:space="preserve"> nem számítanak. Másodszor a gyűlölet-bűncselekmények hatékony büntetésének hiánya hatással lehet a társadalmi kohézióra és a közrendre is. Ha a gyűlölet-bűncselekmények hosszú ideig büntetés nélkül maradnak, az általában hozzájárulhat a társadalmi csoportok közötti viszony megromlásához, sőt etnikai vagy más feszültségekhez is vezethet. Nem véletlen, hogy kiemelkedően nagy számban figyelnek meg gyűlölet-bűncs</w:t>
      </w:r>
      <w:r w:rsidR="00691E16">
        <w:rPr>
          <w:rFonts w:ascii="Times New Roman" w:hAnsi="Times New Roman" w:cs="Times New Roman"/>
          <w:iCs/>
          <w:sz w:val="24"/>
          <w:szCs w:val="24"/>
        </w:rPr>
        <w:t>e</w:t>
      </w:r>
      <w:r w:rsidR="00331F7F">
        <w:rPr>
          <w:rFonts w:ascii="Times New Roman" w:hAnsi="Times New Roman" w:cs="Times New Roman"/>
          <w:iCs/>
          <w:sz w:val="24"/>
          <w:szCs w:val="24"/>
        </w:rPr>
        <w:t xml:space="preserve">lekményeket a </w:t>
      </w:r>
      <w:r w:rsidR="00691E16">
        <w:rPr>
          <w:rFonts w:ascii="Times New Roman" w:hAnsi="Times New Roman" w:cs="Times New Roman"/>
          <w:iCs/>
          <w:sz w:val="24"/>
          <w:szCs w:val="24"/>
        </w:rPr>
        <w:t xml:space="preserve">belső konfliktusok eszkalációs fázisában. Azonban hasonlóképpen nem véletlen az sem, hogy a büntetés nélkül maradt gyűlölet-bűncselekmények lehetnek a </w:t>
      </w:r>
      <w:r w:rsidR="00B8426B">
        <w:rPr>
          <w:rFonts w:ascii="Times New Roman" w:hAnsi="Times New Roman" w:cs="Times New Roman"/>
          <w:iCs/>
          <w:sz w:val="24"/>
          <w:szCs w:val="24"/>
        </w:rPr>
        <w:t xml:space="preserve">polgárháborúk </w:t>
      </w:r>
      <w:r w:rsidR="00691E16">
        <w:rPr>
          <w:rFonts w:ascii="Times New Roman" w:hAnsi="Times New Roman" w:cs="Times New Roman"/>
          <w:iCs/>
          <w:sz w:val="24"/>
          <w:szCs w:val="24"/>
        </w:rPr>
        <w:t xml:space="preserve">vagy nemzetközi </w:t>
      </w:r>
      <w:r w:rsidR="00B8426B">
        <w:rPr>
          <w:rFonts w:ascii="Times New Roman" w:hAnsi="Times New Roman" w:cs="Times New Roman"/>
          <w:iCs/>
          <w:sz w:val="24"/>
          <w:szCs w:val="24"/>
        </w:rPr>
        <w:t>fegyveres konfliktusok</w:t>
      </w:r>
      <w:r w:rsidR="00691E16">
        <w:rPr>
          <w:rFonts w:ascii="Times New Roman" w:hAnsi="Times New Roman" w:cs="Times New Roman"/>
          <w:iCs/>
          <w:sz w:val="24"/>
          <w:szCs w:val="24"/>
        </w:rPr>
        <w:t xml:space="preserve"> kirobbanásához vezető utolsó lépcsőfok</w:t>
      </w:r>
      <w:r w:rsidR="00B8426B">
        <w:rPr>
          <w:rFonts w:ascii="Times New Roman" w:hAnsi="Times New Roman" w:cs="Times New Roman"/>
          <w:iCs/>
          <w:sz w:val="24"/>
          <w:szCs w:val="24"/>
        </w:rPr>
        <w:t>.</w:t>
      </w:r>
      <w:r w:rsidR="00BF7CAD" w:rsidRPr="000C29F0">
        <w:rPr>
          <w:rFonts w:ascii="Times New Roman" w:hAnsi="Times New Roman" w:cs="Times New Roman"/>
          <w:iCs/>
          <w:sz w:val="24"/>
          <w:szCs w:val="24"/>
          <w:vertAlign w:val="superscript"/>
        </w:rPr>
        <w:footnoteReference w:id="29"/>
      </w:r>
      <w:r w:rsidR="00B8426B">
        <w:rPr>
          <w:rFonts w:ascii="Times New Roman" w:hAnsi="Times New Roman" w:cs="Times New Roman"/>
          <w:iCs/>
          <w:sz w:val="24"/>
          <w:szCs w:val="24"/>
        </w:rPr>
        <w:t xml:space="preserve"> </w:t>
      </w:r>
      <w:r w:rsidR="00691E16">
        <w:rPr>
          <w:rFonts w:ascii="Times New Roman" w:hAnsi="Times New Roman" w:cs="Times New Roman"/>
          <w:iCs/>
          <w:sz w:val="24"/>
          <w:szCs w:val="24"/>
        </w:rPr>
        <w:t>Emiatt a gyűlölet-bűncselekmények kezelése is szerves része az Európai Biztonsági és Együttműködési Szervezet (EBESZ) fő megbízásának</w:t>
      </w:r>
      <w:r w:rsidR="00BF7CAD" w:rsidRPr="000C29F0">
        <w:rPr>
          <w:rFonts w:ascii="Times New Roman" w:hAnsi="Times New Roman" w:cs="Times New Roman"/>
          <w:iCs/>
          <w:sz w:val="24"/>
          <w:szCs w:val="24"/>
        </w:rPr>
        <w:t>.</w:t>
      </w:r>
      <w:r w:rsidR="00BF7CAD" w:rsidRPr="000C29F0">
        <w:rPr>
          <w:rFonts w:ascii="Times New Roman" w:hAnsi="Times New Roman" w:cs="Times New Roman"/>
          <w:iCs/>
          <w:sz w:val="24"/>
          <w:szCs w:val="24"/>
          <w:vertAlign w:val="superscript"/>
        </w:rPr>
        <w:footnoteReference w:id="30"/>
      </w:r>
    </w:p>
    <w:p w:rsidR="001406E9" w:rsidRPr="000C29F0" w:rsidRDefault="001406E9" w:rsidP="001406E9">
      <w:pPr>
        <w:ind w:firstLine="360"/>
        <w:jc w:val="both"/>
        <w:rPr>
          <w:rFonts w:ascii="Times New Roman" w:hAnsi="Times New Roman" w:cs="Times New Roman"/>
          <w:iCs/>
          <w:szCs w:val="24"/>
        </w:rPr>
      </w:pPr>
    </w:p>
    <w:tbl>
      <w:tblPr>
        <w:tblStyle w:val="MediumGrid1-Accent52"/>
        <w:tblW w:w="0" w:type="auto"/>
        <w:tblLook w:val="04A0" w:firstRow="1" w:lastRow="0" w:firstColumn="1" w:lastColumn="0" w:noHBand="0" w:noVBand="1"/>
      </w:tblPr>
      <w:tblGrid>
        <w:gridCol w:w="8440"/>
      </w:tblGrid>
      <w:tr w:rsidR="00BF7CAD" w:rsidRPr="000C29F0" w:rsidTr="00D23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0" w:type="dxa"/>
          </w:tcPr>
          <w:p w:rsidR="00BF7CAD" w:rsidRPr="000C29F0" w:rsidRDefault="00BF7CAD" w:rsidP="00BF7CAD">
            <w:pPr>
              <w:contextualSpacing/>
              <w:jc w:val="both"/>
              <w:rPr>
                <w:rFonts w:ascii="Verdana" w:hAnsi="Verdana"/>
                <w:sz w:val="18"/>
                <w:szCs w:val="18"/>
                <w:lang w:val="hu-HU"/>
              </w:rPr>
            </w:pPr>
          </w:p>
          <w:p w:rsidR="00BF7CAD" w:rsidRPr="000C29F0" w:rsidRDefault="00691E16" w:rsidP="00BF7CAD">
            <w:pPr>
              <w:contextualSpacing/>
              <w:jc w:val="both"/>
              <w:rPr>
                <w:rFonts w:ascii="Verdana" w:eastAsia="MS Mincho" w:hAnsi="Verdana" w:cs="Times New Roman"/>
                <w:iCs/>
                <w:color w:val="943634"/>
                <w:sz w:val="19"/>
                <w:szCs w:val="19"/>
                <w:lang w:val="hu-HU"/>
              </w:rPr>
            </w:pPr>
            <w:r>
              <w:rPr>
                <w:rFonts w:ascii="Verdana" w:eastAsia="MS Mincho" w:hAnsi="Verdana" w:cs="Times New Roman"/>
                <w:color w:val="943634"/>
                <w:sz w:val="19"/>
                <w:szCs w:val="19"/>
                <w:lang w:val="hu-HU"/>
              </w:rPr>
              <w:t>Emberi Jogok Európai Bírósága</w:t>
            </w:r>
            <w:r w:rsidR="00BF7CAD" w:rsidRPr="000C29F0">
              <w:rPr>
                <w:rFonts w:ascii="Verdana" w:eastAsia="MS Mincho" w:hAnsi="Verdana" w:cs="Times New Roman"/>
                <w:color w:val="943634"/>
                <w:sz w:val="19"/>
                <w:szCs w:val="19"/>
                <w:lang w:val="hu-HU"/>
              </w:rPr>
              <w:t xml:space="preserve">, </w:t>
            </w:r>
            <w:proofErr w:type="spellStart"/>
            <w:r w:rsidR="00BF7CAD" w:rsidRPr="000C29F0">
              <w:rPr>
                <w:rFonts w:ascii="Verdana" w:eastAsia="MS Mincho" w:hAnsi="Verdana" w:cs="Times New Roman"/>
                <w:i/>
                <w:iCs/>
                <w:color w:val="943634"/>
                <w:sz w:val="19"/>
                <w:szCs w:val="19"/>
                <w:lang w:val="hu-HU"/>
              </w:rPr>
              <w:t>Identoba</w:t>
            </w:r>
            <w:r>
              <w:rPr>
                <w:rFonts w:ascii="Verdana" w:eastAsia="MS Mincho" w:hAnsi="Verdana" w:cs="Times New Roman"/>
                <w:i/>
                <w:iCs/>
                <w:color w:val="943634"/>
                <w:sz w:val="19"/>
                <w:szCs w:val="19"/>
                <w:lang w:val="hu-HU"/>
              </w:rPr>
              <w:t>és</w:t>
            </w:r>
            <w:proofErr w:type="spellEnd"/>
            <w:r>
              <w:rPr>
                <w:rFonts w:ascii="Verdana" w:eastAsia="MS Mincho" w:hAnsi="Verdana" w:cs="Times New Roman"/>
                <w:i/>
                <w:iCs/>
                <w:color w:val="943634"/>
                <w:sz w:val="19"/>
                <w:szCs w:val="19"/>
                <w:lang w:val="hu-HU"/>
              </w:rPr>
              <w:t xml:space="preserve"> társai kontra Grúzia</w:t>
            </w:r>
            <w:r w:rsidR="00BF7CAD" w:rsidRPr="000C29F0">
              <w:rPr>
                <w:rFonts w:ascii="Verdana" w:eastAsia="MS Mincho" w:hAnsi="Verdana" w:cs="Times New Roman"/>
                <w:color w:val="943634"/>
                <w:sz w:val="19"/>
                <w:szCs w:val="19"/>
                <w:lang w:val="hu-HU"/>
              </w:rPr>
              <w:t xml:space="preserve">, </w:t>
            </w:r>
            <w:r w:rsidR="00BF7CAD" w:rsidRPr="000C29F0">
              <w:rPr>
                <w:rFonts w:ascii="Verdana" w:eastAsia="MS Mincho" w:hAnsi="Verdana" w:cs="Times New Roman"/>
                <w:i/>
                <w:iCs/>
                <w:color w:val="943634"/>
                <w:sz w:val="19"/>
                <w:szCs w:val="19"/>
                <w:lang w:val="hu-HU"/>
              </w:rPr>
              <w:t>73235/12</w:t>
            </w:r>
            <w:r>
              <w:rPr>
                <w:rFonts w:ascii="Verdana" w:eastAsia="MS Mincho" w:hAnsi="Verdana" w:cs="Times New Roman"/>
                <w:i/>
                <w:iCs/>
                <w:color w:val="943634"/>
                <w:sz w:val="19"/>
                <w:szCs w:val="19"/>
                <w:lang w:val="hu-HU"/>
              </w:rPr>
              <w:t xml:space="preserve"> sz. kérelem</w:t>
            </w:r>
            <w:r w:rsidR="00BF7CAD" w:rsidRPr="000C29F0">
              <w:rPr>
                <w:rFonts w:ascii="Verdana" w:eastAsia="MS Mincho" w:hAnsi="Verdana" w:cs="Times New Roman"/>
                <w:iCs/>
                <w:color w:val="943634"/>
                <w:sz w:val="19"/>
                <w:szCs w:val="19"/>
                <w:lang w:val="hu-HU"/>
              </w:rPr>
              <w:t>, 2015</w:t>
            </w:r>
            <w:r>
              <w:rPr>
                <w:rFonts w:ascii="Verdana" w:eastAsia="MS Mincho" w:hAnsi="Verdana" w:cs="Times New Roman"/>
                <w:iCs/>
                <w:color w:val="943634"/>
                <w:sz w:val="19"/>
                <w:szCs w:val="19"/>
                <w:lang w:val="hu-HU"/>
              </w:rPr>
              <w:t>. május 12-én kelt ítélet</w:t>
            </w:r>
            <w:r w:rsidR="00B8426B">
              <w:rPr>
                <w:rFonts w:ascii="Verdana" w:eastAsia="MS Mincho" w:hAnsi="Verdana" w:cs="Times New Roman"/>
                <w:iCs/>
                <w:color w:val="943634"/>
                <w:sz w:val="19"/>
                <w:szCs w:val="19"/>
                <w:lang w:val="hu-HU"/>
              </w:rPr>
              <w:t xml:space="preserve"> (</w:t>
            </w:r>
            <w:hyperlink r:id="rId14" w:history="1">
              <w:r w:rsidR="00BF7CAD" w:rsidRPr="000C29F0">
                <w:rPr>
                  <w:rFonts w:ascii="Verdana" w:eastAsia="MS Mincho" w:hAnsi="Verdana" w:cs="Times New Roman"/>
                  <w:iCs/>
                  <w:color w:val="0000FF" w:themeColor="hyperlink"/>
                  <w:sz w:val="19"/>
                  <w:szCs w:val="19"/>
                  <w:u w:val="single"/>
                  <w:lang w:val="hu-HU"/>
                </w:rPr>
                <w:t>link</w:t>
              </w:r>
            </w:hyperlink>
            <w:r w:rsidR="00B8426B">
              <w:t>)</w:t>
            </w:r>
          </w:p>
          <w:p w:rsidR="00BF7CAD" w:rsidRPr="000C29F0" w:rsidRDefault="00BF7CAD" w:rsidP="00BF7CAD">
            <w:pPr>
              <w:contextualSpacing/>
              <w:jc w:val="both"/>
              <w:rPr>
                <w:rFonts w:ascii="Verdana" w:eastAsia="MS Mincho" w:hAnsi="Verdana" w:cs="Times New Roman"/>
                <w:iCs/>
                <w:color w:val="943634"/>
                <w:sz w:val="19"/>
                <w:szCs w:val="19"/>
                <w:lang w:val="hu-HU"/>
              </w:rPr>
            </w:pPr>
          </w:p>
          <w:p w:rsidR="00BF7CAD" w:rsidRPr="000C29F0" w:rsidRDefault="00691E16" w:rsidP="00BF7CAD">
            <w:pPr>
              <w:contextualSpacing/>
              <w:jc w:val="both"/>
              <w:rPr>
                <w:rFonts w:ascii="Verdana" w:eastAsia="MS Mincho" w:hAnsi="Verdana" w:cs="Times New Roman"/>
                <w:b w:val="0"/>
                <w:sz w:val="18"/>
                <w:szCs w:val="18"/>
                <w:lang w:val="hu-HU"/>
              </w:rPr>
            </w:pPr>
            <w:r>
              <w:rPr>
                <w:rFonts w:ascii="Verdana" w:eastAsia="MS Mincho" w:hAnsi="Verdana" w:cs="Times New Roman"/>
                <w:sz w:val="18"/>
                <w:szCs w:val="18"/>
                <w:u w:val="single"/>
                <w:lang w:val="hu-HU"/>
              </w:rPr>
              <w:t>Tényállás</w:t>
            </w:r>
            <w:r w:rsidR="00BF7CAD" w:rsidRPr="000C29F0">
              <w:rPr>
                <w:rFonts w:ascii="Verdana" w:eastAsia="MS Mincho" w:hAnsi="Verdana" w:cs="Times New Roman"/>
                <w:sz w:val="18"/>
                <w:szCs w:val="18"/>
                <w:lang w:val="hu-HU"/>
              </w:rPr>
              <w:t xml:space="preserve">: </w:t>
            </w:r>
            <w:r w:rsidRPr="00691E16">
              <w:rPr>
                <w:rFonts w:ascii="Verdana" w:eastAsia="MS Mincho" w:hAnsi="Verdana" w:cs="Times New Roman"/>
                <w:b w:val="0"/>
                <w:sz w:val="18"/>
                <w:szCs w:val="18"/>
                <w:lang w:val="hu-HU"/>
              </w:rPr>
              <w:t>A</w:t>
            </w:r>
            <w:r>
              <w:rPr>
                <w:rFonts w:ascii="Verdana" w:eastAsia="MS Mincho" w:hAnsi="Verdana" w:cs="Times New Roman"/>
                <w:b w:val="0"/>
                <w:sz w:val="18"/>
                <w:szCs w:val="18"/>
                <w:lang w:val="hu-HU"/>
              </w:rPr>
              <w:t xml:space="preserve"> kérelmezők – egy leszbikusok, melegek, biszexuálisok és transzneműek (LMBT) jogait képviselő civil szervezet – azt állította, hogy a rendőrség nem védte meg őket</w:t>
            </w:r>
            <w:r w:rsidR="00187E61">
              <w:rPr>
                <w:rFonts w:ascii="Verdana" w:eastAsia="MS Mincho" w:hAnsi="Verdana" w:cs="Times New Roman"/>
                <w:b w:val="0"/>
                <w:sz w:val="18"/>
                <w:szCs w:val="18"/>
                <w:lang w:val="hu-HU"/>
              </w:rPr>
              <w:t xml:space="preserve"> egy békés felvonulás során két vallásos csoport ellentüntetőitől, akik diszkriminatív szándékkal sértegették, fenyegették és bántalmazták őket</w:t>
            </w:r>
            <w:r w:rsidR="00BF7CAD" w:rsidRPr="000C29F0">
              <w:rPr>
                <w:rFonts w:ascii="Verdana" w:eastAsia="MS Mincho" w:hAnsi="Verdana" w:cs="Times New Roman"/>
                <w:b w:val="0"/>
                <w:sz w:val="18"/>
                <w:szCs w:val="18"/>
                <w:lang w:val="hu-HU"/>
              </w:rPr>
              <w:t>.</w:t>
            </w:r>
          </w:p>
          <w:p w:rsidR="00BF7CAD" w:rsidRPr="000C29F0" w:rsidRDefault="00BF7CAD" w:rsidP="00BF7CAD">
            <w:pPr>
              <w:contextualSpacing/>
              <w:jc w:val="both"/>
              <w:rPr>
                <w:rFonts w:ascii="Verdana" w:eastAsia="MS Mincho" w:hAnsi="Verdana" w:cs="Times New Roman"/>
                <w:b w:val="0"/>
                <w:sz w:val="18"/>
                <w:szCs w:val="18"/>
                <w:lang w:val="hu-HU"/>
              </w:rPr>
            </w:pPr>
          </w:p>
          <w:p w:rsidR="00187E61" w:rsidRDefault="00187E61" w:rsidP="00BF7CAD">
            <w:pPr>
              <w:contextualSpacing/>
              <w:jc w:val="both"/>
              <w:rPr>
                <w:rFonts w:ascii="Verdana" w:eastAsia="MS Mincho" w:hAnsi="Verdana" w:cs="Times New Roman"/>
                <w:bCs w:val="0"/>
                <w:sz w:val="18"/>
                <w:szCs w:val="18"/>
                <w:lang w:val="hu-HU"/>
              </w:rPr>
            </w:pPr>
            <w:r>
              <w:rPr>
                <w:rFonts w:ascii="Verdana" w:eastAsia="MS Mincho" w:hAnsi="Verdana" w:cs="Times New Roman"/>
                <w:sz w:val="18"/>
                <w:szCs w:val="18"/>
                <w:u w:val="single"/>
                <w:lang w:val="hu-HU"/>
              </w:rPr>
              <w:t>Elemzés</w:t>
            </w:r>
            <w:r w:rsidR="00BF7CAD" w:rsidRPr="000C29F0">
              <w:rPr>
                <w:rFonts w:ascii="Verdana" w:eastAsia="MS Mincho" w:hAnsi="Verdana" w:cs="Times New Roman"/>
                <w:sz w:val="18"/>
                <w:szCs w:val="18"/>
                <w:lang w:val="hu-HU"/>
              </w:rPr>
              <w:t xml:space="preserve">: </w:t>
            </w:r>
            <w:r w:rsidRPr="00187E61">
              <w:rPr>
                <w:rFonts w:ascii="Verdana" w:eastAsia="MS Mincho" w:hAnsi="Verdana" w:cs="Times New Roman"/>
                <w:b w:val="0"/>
                <w:sz w:val="18"/>
                <w:szCs w:val="18"/>
                <w:lang w:val="hu-HU"/>
              </w:rPr>
              <w:t>A</w:t>
            </w:r>
            <w:r>
              <w:rPr>
                <w:rFonts w:ascii="Verdana" w:eastAsia="MS Mincho" w:hAnsi="Verdana" w:cs="Times New Roman"/>
                <w:b w:val="0"/>
                <w:sz w:val="18"/>
                <w:szCs w:val="18"/>
                <w:lang w:val="hu-HU"/>
              </w:rPr>
              <w:t xml:space="preserve"> Bíróság úgy vélte, hogy az elkövetőket egyértelműen homofób elfogultság motiválta, amit az is mutat, hogy fenyegető és sértő kifejezéseket használtak, </w:t>
            </w:r>
            <w:r>
              <w:rPr>
                <w:rFonts w:ascii="Verdana" w:eastAsia="MS Mincho" w:hAnsi="Verdana" w:cs="Times New Roman"/>
                <w:b w:val="0"/>
                <w:sz w:val="18"/>
                <w:szCs w:val="18"/>
                <w:lang w:val="hu-HU"/>
              </w:rPr>
              <w:lastRenderedPageBreak/>
              <w:t xml:space="preserve">megrongálták az LMBT zászlókat és transzparenseket, és </w:t>
            </w:r>
            <w:r w:rsidR="00C44AE3">
              <w:rPr>
                <w:rFonts w:ascii="Verdana" w:eastAsia="MS Mincho" w:hAnsi="Verdana" w:cs="Times New Roman"/>
                <w:b w:val="0"/>
                <w:sz w:val="18"/>
                <w:szCs w:val="18"/>
                <w:lang w:val="hu-HU"/>
              </w:rPr>
              <w:t xml:space="preserve">a </w:t>
            </w:r>
            <w:r>
              <w:rPr>
                <w:rFonts w:ascii="Verdana" w:eastAsia="MS Mincho" w:hAnsi="Verdana" w:cs="Times New Roman"/>
                <w:b w:val="0"/>
                <w:sz w:val="18"/>
                <w:szCs w:val="18"/>
                <w:lang w:val="hu-HU"/>
              </w:rPr>
              <w:t>kérelmezők közül néhányat közvetlenül meg is támadtak. A Bíróság továbbá úgy vélte, hogy a hatóságok nem tettek eleget a kérelmezők megvédésére vonatkozó kötelezettségüknek</w:t>
            </w:r>
            <w:r w:rsidR="008B4986">
              <w:rPr>
                <w:rFonts w:ascii="Verdana" w:eastAsia="MS Mincho" w:hAnsi="Verdana" w:cs="Times New Roman"/>
                <w:b w:val="0"/>
                <w:sz w:val="18"/>
                <w:szCs w:val="18"/>
                <w:lang w:val="hu-HU"/>
              </w:rPr>
              <w:t xml:space="preserve">, amit többek között az is mutat, hogy </w:t>
            </w:r>
            <w:r w:rsidR="00786395">
              <w:rPr>
                <w:rFonts w:ascii="Verdana" w:eastAsia="MS Mincho" w:hAnsi="Verdana" w:cs="Times New Roman"/>
                <w:b w:val="0"/>
                <w:sz w:val="18"/>
                <w:szCs w:val="18"/>
                <w:lang w:val="hu-HU"/>
              </w:rPr>
              <w:t>távol tartották magukat</w:t>
            </w:r>
            <w:r w:rsidR="00817956">
              <w:rPr>
                <w:rFonts w:ascii="Verdana" w:eastAsia="MS Mincho" w:hAnsi="Verdana" w:cs="Times New Roman"/>
                <w:b w:val="0"/>
                <w:sz w:val="18"/>
                <w:szCs w:val="18"/>
                <w:lang w:val="hu-HU"/>
              </w:rPr>
              <w:t>,</w:t>
            </w:r>
            <w:r w:rsidR="00786395">
              <w:rPr>
                <w:rFonts w:ascii="Verdana" w:eastAsia="MS Mincho" w:hAnsi="Verdana" w:cs="Times New Roman"/>
                <w:b w:val="0"/>
                <w:sz w:val="18"/>
                <w:szCs w:val="18"/>
                <w:lang w:val="hu-HU"/>
              </w:rPr>
              <w:t xml:space="preserve"> </w:t>
            </w:r>
            <w:r w:rsidR="00817956">
              <w:rPr>
                <w:rFonts w:ascii="Verdana" w:eastAsia="MS Mincho" w:hAnsi="Verdana" w:cs="Times New Roman"/>
                <w:b w:val="0"/>
                <w:sz w:val="18"/>
                <w:szCs w:val="18"/>
                <w:lang w:val="hu-HU"/>
              </w:rPr>
              <w:t>a</w:t>
            </w:r>
            <w:r w:rsidR="008B4986">
              <w:rPr>
                <w:rFonts w:ascii="Verdana" w:eastAsia="MS Mincho" w:hAnsi="Verdana" w:cs="Times New Roman"/>
                <w:b w:val="0"/>
                <w:sz w:val="18"/>
                <w:szCs w:val="18"/>
                <w:lang w:val="hu-HU"/>
              </w:rPr>
              <w:t xml:space="preserve">mikor az inzultusok elkezdődtek, </w:t>
            </w:r>
            <w:r w:rsidR="00786395">
              <w:rPr>
                <w:rFonts w:ascii="Verdana" w:eastAsia="MS Mincho" w:hAnsi="Verdana" w:cs="Times New Roman"/>
                <w:b w:val="0"/>
                <w:sz w:val="18"/>
                <w:szCs w:val="18"/>
                <w:lang w:val="hu-HU"/>
              </w:rPr>
              <w:t>ezzel megteremtve a lehetőségét, hogy a helyzet a fizikai erőszakig fajuljon, és hogy kimenekítés céljából az áldozatokat (vagyis a kérelmezőket) tartóztatták le az elkövetők helyett. Végül a Bíróság úgy vélte, hogy a</w:t>
            </w:r>
            <w:r w:rsidR="00817956">
              <w:rPr>
                <w:rFonts w:ascii="Verdana" w:eastAsia="MS Mincho" w:hAnsi="Verdana" w:cs="Times New Roman"/>
                <w:b w:val="0"/>
                <w:sz w:val="18"/>
                <w:szCs w:val="18"/>
                <w:lang w:val="hu-HU"/>
              </w:rPr>
              <w:t xml:space="preserve"> </w:t>
            </w:r>
            <w:r w:rsidR="00786395">
              <w:rPr>
                <w:rFonts w:ascii="Verdana" w:eastAsia="MS Mincho" w:hAnsi="Verdana" w:cs="Times New Roman"/>
                <w:b w:val="0"/>
                <w:sz w:val="18"/>
                <w:szCs w:val="18"/>
                <w:lang w:val="hu-HU"/>
              </w:rPr>
              <w:t xml:space="preserve">hatóságok elmulasztották a kérelmezők bántalmazással kapcsolatos állításainak megfelelő kivizsgálását. A Bíróság úgy döntött, hogy </w:t>
            </w:r>
            <w:r w:rsidR="00D0218F">
              <w:rPr>
                <w:rFonts w:ascii="Verdana" w:eastAsia="MS Mincho" w:hAnsi="Verdana" w:cs="Times New Roman"/>
                <w:b w:val="0"/>
                <w:sz w:val="18"/>
                <w:szCs w:val="18"/>
                <w:lang w:val="hu-HU"/>
              </w:rPr>
              <w:t>azzal</w:t>
            </w:r>
            <w:r w:rsidR="00786395">
              <w:rPr>
                <w:rFonts w:ascii="Verdana" w:eastAsia="MS Mincho" w:hAnsi="Verdana" w:cs="Times New Roman"/>
                <w:b w:val="0"/>
                <w:sz w:val="18"/>
                <w:szCs w:val="18"/>
                <w:lang w:val="hu-HU"/>
              </w:rPr>
              <w:t>, hogy a hatóságok annak ellenére sem tudták megvédeni a kérelm</w:t>
            </w:r>
            <w:r w:rsidR="00817956">
              <w:rPr>
                <w:rFonts w:ascii="Verdana" w:eastAsia="MS Mincho" w:hAnsi="Verdana" w:cs="Times New Roman"/>
                <w:b w:val="0"/>
                <w:sz w:val="18"/>
                <w:szCs w:val="18"/>
                <w:lang w:val="hu-HU"/>
              </w:rPr>
              <w:t>e</w:t>
            </w:r>
            <w:r w:rsidR="00786395">
              <w:rPr>
                <w:rFonts w:ascii="Verdana" w:eastAsia="MS Mincho" w:hAnsi="Verdana" w:cs="Times New Roman"/>
                <w:b w:val="0"/>
                <w:sz w:val="18"/>
                <w:szCs w:val="18"/>
                <w:lang w:val="hu-HU"/>
              </w:rPr>
              <w:t xml:space="preserve">zőket, hogy azok előre figyelmeztették őket a várható atrocitásokra, és még inkább </w:t>
            </w:r>
            <w:r w:rsidR="00D0218F">
              <w:rPr>
                <w:rFonts w:ascii="Verdana" w:eastAsia="MS Mincho" w:hAnsi="Verdana" w:cs="Times New Roman"/>
                <w:b w:val="0"/>
                <w:sz w:val="18"/>
                <w:szCs w:val="18"/>
                <w:lang w:val="hu-HU"/>
              </w:rPr>
              <w:t>azzal</w:t>
            </w:r>
            <w:r w:rsidR="00786395">
              <w:rPr>
                <w:rFonts w:ascii="Verdana" w:eastAsia="MS Mincho" w:hAnsi="Verdana" w:cs="Times New Roman"/>
                <w:b w:val="0"/>
                <w:sz w:val="18"/>
                <w:szCs w:val="18"/>
                <w:lang w:val="hu-HU"/>
              </w:rPr>
              <w:t xml:space="preserve">, hogy nem tudták hatékonyan felderíteni az elkövetők elfogult indítékait, </w:t>
            </w:r>
            <w:r w:rsidR="00D0218F">
              <w:rPr>
                <w:rFonts w:ascii="Verdana" w:eastAsia="MS Mincho" w:hAnsi="Verdana" w:cs="Times New Roman"/>
                <w:b w:val="0"/>
                <w:sz w:val="18"/>
                <w:szCs w:val="18"/>
                <w:lang w:val="hu-HU"/>
              </w:rPr>
              <w:t xml:space="preserve">aláásták </w:t>
            </w:r>
            <w:r w:rsidR="00786395">
              <w:rPr>
                <w:rFonts w:ascii="Verdana" w:eastAsia="MS Mincho" w:hAnsi="Verdana" w:cs="Times New Roman"/>
                <w:b w:val="0"/>
                <w:sz w:val="18"/>
                <w:szCs w:val="18"/>
                <w:lang w:val="hu-HU"/>
              </w:rPr>
              <w:t xml:space="preserve">az állam </w:t>
            </w:r>
            <w:r w:rsidR="00D0218F">
              <w:rPr>
                <w:rFonts w:ascii="Verdana" w:eastAsia="MS Mincho" w:hAnsi="Verdana" w:cs="Times New Roman"/>
                <w:b w:val="0"/>
                <w:sz w:val="18"/>
                <w:szCs w:val="18"/>
                <w:lang w:val="hu-HU"/>
              </w:rPr>
              <w:t xml:space="preserve">képességét a béke fenntartására a jövőbeli békés demonstrációk során és aláásták a </w:t>
            </w:r>
            <w:proofErr w:type="gramStart"/>
            <w:r w:rsidR="00D0218F">
              <w:rPr>
                <w:rFonts w:ascii="Verdana" w:eastAsia="MS Mincho" w:hAnsi="Verdana" w:cs="Times New Roman"/>
                <w:b w:val="0"/>
                <w:sz w:val="18"/>
                <w:szCs w:val="18"/>
                <w:lang w:val="hu-HU"/>
              </w:rPr>
              <w:t>köz bizalmát</w:t>
            </w:r>
            <w:proofErr w:type="gramEnd"/>
            <w:r w:rsidR="00D0218F">
              <w:rPr>
                <w:rFonts w:ascii="Verdana" w:eastAsia="MS Mincho" w:hAnsi="Verdana" w:cs="Times New Roman"/>
                <w:b w:val="0"/>
                <w:sz w:val="18"/>
                <w:szCs w:val="18"/>
                <w:lang w:val="hu-HU"/>
              </w:rPr>
              <w:t xml:space="preserve"> az állam diszkriminációellenes fellépésében is.</w:t>
            </w:r>
          </w:p>
          <w:p w:rsidR="00BF7CAD" w:rsidRPr="000C29F0" w:rsidRDefault="00BF7CAD" w:rsidP="00BF7CAD">
            <w:pPr>
              <w:contextualSpacing/>
              <w:jc w:val="both"/>
              <w:rPr>
                <w:rFonts w:ascii="Verdana" w:eastAsia="MS Mincho" w:hAnsi="Verdana" w:cs="Times New Roman"/>
                <w:sz w:val="18"/>
                <w:szCs w:val="18"/>
                <w:lang w:val="hu-HU"/>
              </w:rPr>
            </w:pPr>
          </w:p>
          <w:p w:rsidR="00BF7CAD" w:rsidRPr="000C29F0" w:rsidRDefault="00BF7CAD" w:rsidP="00BF7CAD">
            <w:pPr>
              <w:ind w:left="720"/>
              <w:contextualSpacing/>
              <w:jc w:val="both"/>
              <w:rPr>
                <w:rFonts w:ascii="Verdana" w:hAnsi="Verdana"/>
                <w:b w:val="0"/>
                <w:i/>
                <w:sz w:val="18"/>
                <w:szCs w:val="18"/>
                <w:lang w:val="hu-HU"/>
              </w:rPr>
            </w:pPr>
            <w:r w:rsidRPr="000C29F0">
              <w:rPr>
                <w:rFonts w:ascii="Verdana" w:hAnsi="Verdana"/>
                <w:b w:val="0"/>
                <w:i/>
                <w:sz w:val="18"/>
                <w:szCs w:val="18"/>
                <w:u w:val="single"/>
                <w:lang w:val="hu-HU"/>
              </w:rPr>
              <w:t>77</w:t>
            </w:r>
            <w:r w:rsidR="00D0218F">
              <w:rPr>
                <w:rFonts w:ascii="Verdana" w:hAnsi="Verdana"/>
                <w:b w:val="0"/>
                <w:i/>
                <w:sz w:val="18"/>
                <w:szCs w:val="18"/>
                <w:u w:val="single"/>
                <w:lang w:val="hu-HU"/>
              </w:rPr>
              <w:t>. bekezdés</w:t>
            </w:r>
            <w:r w:rsidRPr="000C29F0">
              <w:rPr>
                <w:rFonts w:ascii="Verdana" w:hAnsi="Verdana"/>
                <w:b w:val="0"/>
                <w:sz w:val="18"/>
                <w:szCs w:val="18"/>
                <w:lang w:val="hu-HU"/>
              </w:rPr>
              <w:t xml:space="preserve">: </w:t>
            </w:r>
            <w:r w:rsidRPr="000C29F0">
              <w:rPr>
                <w:rFonts w:ascii="Verdana" w:hAnsi="Verdana"/>
                <w:b w:val="0"/>
                <w:i/>
                <w:sz w:val="18"/>
                <w:szCs w:val="18"/>
                <w:lang w:val="hu-HU"/>
              </w:rPr>
              <w:t xml:space="preserve">(…) </w:t>
            </w:r>
            <w:proofErr w:type="gramStart"/>
            <w:r w:rsidR="00D0218F">
              <w:rPr>
                <w:rFonts w:ascii="Verdana" w:hAnsi="Verdana"/>
                <w:b w:val="0"/>
                <w:i/>
                <w:sz w:val="18"/>
                <w:szCs w:val="18"/>
                <w:lang w:val="hu-HU"/>
              </w:rPr>
              <w:t>A</w:t>
            </w:r>
            <w:proofErr w:type="gramEnd"/>
            <w:r w:rsidR="00D0218F">
              <w:rPr>
                <w:rFonts w:ascii="Verdana" w:hAnsi="Verdana"/>
                <w:b w:val="0"/>
                <w:i/>
                <w:sz w:val="18"/>
                <w:szCs w:val="18"/>
                <w:lang w:val="hu-HU"/>
              </w:rPr>
              <w:t xml:space="preserve"> 2012. május 12-i támadás mögött meghúzódó disz</w:t>
            </w:r>
            <w:r w:rsidR="00817956">
              <w:rPr>
                <w:rFonts w:ascii="Verdana" w:hAnsi="Verdana"/>
                <w:b w:val="0"/>
                <w:i/>
                <w:sz w:val="18"/>
                <w:szCs w:val="18"/>
                <w:lang w:val="hu-HU"/>
              </w:rPr>
              <w:t>k</w:t>
            </w:r>
            <w:r w:rsidR="00D0218F">
              <w:rPr>
                <w:rFonts w:ascii="Verdana" w:hAnsi="Verdana"/>
                <w:b w:val="0"/>
                <w:i/>
                <w:sz w:val="18"/>
                <w:szCs w:val="18"/>
                <w:lang w:val="hu-HU"/>
              </w:rPr>
              <w:t>rimináció tényleges viz</w:t>
            </w:r>
            <w:r w:rsidR="00817956">
              <w:rPr>
                <w:rFonts w:ascii="Verdana" w:hAnsi="Verdana"/>
                <w:b w:val="0"/>
                <w:i/>
                <w:sz w:val="18"/>
                <w:szCs w:val="18"/>
                <w:lang w:val="hu-HU"/>
              </w:rPr>
              <w:t>s</w:t>
            </w:r>
            <w:r w:rsidR="00D0218F">
              <w:rPr>
                <w:rFonts w:ascii="Verdana" w:hAnsi="Verdana"/>
                <w:b w:val="0"/>
                <w:i/>
                <w:sz w:val="18"/>
                <w:szCs w:val="18"/>
                <w:lang w:val="hu-HU"/>
              </w:rPr>
              <w:t>gálatának lefolytatása mindenképpen szükséges lett volna egyrész</w:t>
            </w:r>
            <w:r w:rsidR="00817956">
              <w:rPr>
                <w:rFonts w:ascii="Verdana" w:hAnsi="Verdana"/>
                <w:b w:val="0"/>
                <w:i/>
                <w:sz w:val="18"/>
                <w:szCs w:val="18"/>
                <w:lang w:val="hu-HU"/>
              </w:rPr>
              <w:t>t</w:t>
            </w:r>
            <w:r w:rsidR="00D0218F">
              <w:rPr>
                <w:rFonts w:ascii="Verdana" w:hAnsi="Verdana"/>
                <w:b w:val="0"/>
                <w:i/>
                <w:sz w:val="18"/>
                <w:szCs w:val="18"/>
                <w:lang w:val="hu-HU"/>
              </w:rPr>
              <w:t xml:space="preserve"> az LMBT közösséget ért zaklatás, másrészt a támadók által az incidens során használt homofób kifejezések miatt. </w:t>
            </w:r>
            <w:r w:rsidR="00D0218F" w:rsidRPr="003A7542">
              <w:rPr>
                <w:rFonts w:ascii="Verdana" w:hAnsi="Verdana"/>
                <w:i/>
                <w:sz w:val="18"/>
                <w:szCs w:val="18"/>
                <w:lang w:val="hu-HU"/>
              </w:rPr>
              <w:t>A Bíróság szerint a bűnüldöző hatóságok ilyen szigorú hozzáállása nélkül elkerülhetetlen, hogy az előítéletes indíték</w:t>
            </w:r>
            <w:r w:rsidR="004E67BF">
              <w:rPr>
                <w:rFonts w:ascii="Verdana" w:hAnsi="Verdana"/>
                <w:i/>
                <w:sz w:val="18"/>
                <w:szCs w:val="18"/>
                <w:lang w:val="hu-HU"/>
              </w:rPr>
              <w:t>ú</w:t>
            </w:r>
            <w:r w:rsidR="00D0218F" w:rsidRPr="003A7542">
              <w:rPr>
                <w:rFonts w:ascii="Verdana" w:hAnsi="Verdana"/>
                <w:i/>
                <w:sz w:val="18"/>
                <w:szCs w:val="18"/>
                <w:lang w:val="hu-HU"/>
              </w:rPr>
              <w:t xml:space="preserve"> bűncselekményeket az ilyen felhangokat nélkülöző </w:t>
            </w:r>
            <w:r w:rsidR="007B5154">
              <w:rPr>
                <w:rFonts w:ascii="Verdana" w:hAnsi="Verdana"/>
                <w:i/>
                <w:sz w:val="18"/>
                <w:szCs w:val="18"/>
                <w:lang w:val="hu-HU"/>
              </w:rPr>
              <w:t>egyéb</w:t>
            </w:r>
            <w:r w:rsidR="007B5154" w:rsidRPr="003A7542">
              <w:rPr>
                <w:rFonts w:ascii="Verdana" w:hAnsi="Verdana"/>
                <w:i/>
                <w:sz w:val="18"/>
                <w:szCs w:val="18"/>
                <w:lang w:val="hu-HU"/>
              </w:rPr>
              <w:t xml:space="preserve"> </w:t>
            </w:r>
            <w:r w:rsidR="00D0218F" w:rsidRPr="003A7542">
              <w:rPr>
                <w:rFonts w:ascii="Verdana" w:hAnsi="Verdana"/>
                <w:i/>
                <w:sz w:val="18"/>
                <w:szCs w:val="18"/>
                <w:lang w:val="hu-HU"/>
              </w:rPr>
              <w:t>bűncselekményekkel azonos megítélés szerint kezeljék</w:t>
            </w:r>
            <w:r w:rsidR="003A7542" w:rsidRPr="003A7542">
              <w:rPr>
                <w:rFonts w:ascii="Verdana" w:hAnsi="Verdana"/>
                <w:i/>
                <w:sz w:val="18"/>
                <w:szCs w:val="18"/>
                <w:lang w:val="hu-HU"/>
              </w:rPr>
              <w:t xml:space="preserve">, és az ebből fakadó </w:t>
            </w:r>
            <w:r w:rsidR="003A7542" w:rsidRPr="004E67BF">
              <w:rPr>
                <w:rFonts w:ascii="Verdana" w:hAnsi="Verdana"/>
                <w:i/>
                <w:sz w:val="18"/>
                <w:szCs w:val="18"/>
                <w:lang w:val="hu-HU"/>
              </w:rPr>
              <w:t>közöny</w:t>
            </w:r>
            <w:r w:rsidR="003A7542" w:rsidRPr="003A7542">
              <w:rPr>
                <w:rFonts w:ascii="Verdana" w:hAnsi="Verdana"/>
                <w:i/>
                <w:sz w:val="18"/>
                <w:szCs w:val="18"/>
                <w:lang w:val="hu-HU"/>
              </w:rPr>
              <w:t xml:space="preserve"> egyenértékű volna a gyűlölet-bűncselekmények hivatalos elfogadásával vagy akár hallgatólagos támogatásával is </w:t>
            </w:r>
            <w:r w:rsidR="003A7542">
              <w:rPr>
                <w:rFonts w:ascii="Verdana" w:hAnsi="Verdana"/>
                <w:b w:val="0"/>
                <w:i/>
                <w:sz w:val="18"/>
                <w:szCs w:val="18"/>
                <w:lang w:val="hu-HU"/>
              </w:rPr>
              <w:t>(</w:t>
            </w:r>
            <w:proofErr w:type="spellStart"/>
            <w:r w:rsidR="003A7542">
              <w:rPr>
                <w:rFonts w:ascii="Verdana" w:hAnsi="Verdana"/>
                <w:b w:val="0"/>
                <w:i/>
                <w:sz w:val="18"/>
                <w:szCs w:val="18"/>
                <w:lang w:val="hu-HU"/>
              </w:rPr>
              <w:t>v.ö</w:t>
            </w:r>
            <w:proofErr w:type="spellEnd"/>
            <w:r w:rsidR="003A7542">
              <w:rPr>
                <w:rFonts w:ascii="Verdana" w:hAnsi="Verdana"/>
                <w:b w:val="0"/>
                <w:i/>
                <w:sz w:val="18"/>
                <w:szCs w:val="18"/>
                <w:lang w:val="hu-HU"/>
              </w:rPr>
              <w:t>. például</w:t>
            </w:r>
            <w:r w:rsidR="00817956">
              <w:rPr>
                <w:rFonts w:ascii="Verdana" w:hAnsi="Verdana"/>
                <w:b w:val="0"/>
                <w:i/>
                <w:sz w:val="18"/>
                <w:szCs w:val="18"/>
                <w:lang w:val="hu-HU"/>
              </w:rPr>
              <w:t xml:space="preserve"> </w:t>
            </w:r>
            <w:proofErr w:type="spellStart"/>
            <w:r w:rsidRPr="000C29F0">
              <w:rPr>
                <w:rFonts w:ascii="Verdana" w:hAnsi="Verdana"/>
                <w:b w:val="0"/>
                <w:i/>
                <w:iCs/>
                <w:sz w:val="18"/>
                <w:szCs w:val="18"/>
                <w:lang w:val="hu-HU"/>
              </w:rPr>
              <w:t>Milanović</w:t>
            </w:r>
            <w:proofErr w:type="spellEnd"/>
            <w:r w:rsidRPr="000C29F0">
              <w:rPr>
                <w:rFonts w:ascii="Verdana" w:hAnsi="Verdana"/>
                <w:b w:val="0"/>
                <w:i/>
                <w:sz w:val="18"/>
                <w:szCs w:val="18"/>
                <w:lang w:val="hu-HU"/>
              </w:rPr>
              <w:t>, 96</w:t>
            </w:r>
            <w:r w:rsidR="003A7542">
              <w:rPr>
                <w:rFonts w:ascii="Verdana" w:hAnsi="Verdana"/>
                <w:b w:val="0"/>
                <w:i/>
                <w:sz w:val="18"/>
                <w:szCs w:val="18"/>
                <w:lang w:val="hu-HU"/>
              </w:rPr>
              <w:t>. és</w:t>
            </w:r>
            <w:r w:rsidRPr="000C29F0">
              <w:rPr>
                <w:rFonts w:ascii="Verdana" w:hAnsi="Verdana"/>
                <w:b w:val="0"/>
                <w:i/>
                <w:sz w:val="18"/>
                <w:szCs w:val="18"/>
                <w:lang w:val="hu-HU"/>
              </w:rPr>
              <w:t xml:space="preserve"> 97</w:t>
            </w:r>
            <w:r w:rsidR="003A7542">
              <w:rPr>
                <w:rFonts w:ascii="Verdana" w:hAnsi="Verdana"/>
                <w:b w:val="0"/>
                <w:i/>
                <w:sz w:val="18"/>
                <w:szCs w:val="18"/>
                <w:lang w:val="hu-HU"/>
              </w:rPr>
              <w:t>. bekezdés</w:t>
            </w:r>
            <w:r w:rsidRPr="000C29F0">
              <w:rPr>
                <w:rFonts w:ascii="Verdana" w:hAnsi="Verdana"/>
                <w:b w:val="0"/>
                <w:i/>
                <w:sz w:val="18"/>
                <w:szCs w:val="18"/>
                <w:lang w:val="hu-HU"/>
              </w:rPr>
              <w:t xml:space="preserve">; </w:t>
            </w:r>
            <w:proofErr w:type="spellStart"/>
            <w:r w:rsidRPr="000C29F0">
              <w:rPr>
                <w:rFonts w:ascii="Verdana" w:hAnsi="Verdana"/>
                <w:b w:val="0"/>
                <w:i/>
                <w:iCs/>
                <w:sz w:val="18"/>
                <w:szCs w:val="18"/>
                <w:lang w:val="hu-HU"/>
              </w:rPr>
              <w:t>Abdu</w:t>
            </w:r>
            <w:proofErr w:type="spellEnd"/>
            <w:r w:rsidRPr="000C29F0">
              <w:rPr>
                <w:rFonts w:ascii="Verdana" w:hAnsi="Verdana"/>
                <w:b w:val="0"/>
                <w:i/>
                <w:sz w:val="18"/>
                <w:szCs w:val="18"/>
                <w:lang w:val="hu-HU"/>
              </w:rPr>
              <w:t>, 32-35</w:t>
            </w:r>
            <w:r w:rsidR="003A7542">
              <w:rPr>
                <w:rFonts w:ascii="Verdana" w:hAnsi="Verdana"/>
                <w:b w:val="0"/>
                <w:i/>
                <w:sz w:val="18"/>
                <w:szCs w:val="18"/>
                <w:lang w:val="hu-HU"/>
              </w:rPr>
              <w:t>. bekezdés</w:t>
            </w:r>
            <w:r w:rsidRPr="000C29F0">
              <w:rPr>
                <w:rFonts w:ascii="Verdana" w:hAnsi="Verdana"/>
                <w:b w:val="0"/>
                <w:i/>
                <w:sz w:val="18"/>
                <w:szCs w:val="18"/>
                <w:lang w:val="hu-HU"/>
              </w:rPr>
              <w:t xml:space="preserve">; </w:t>
            </w:r>
            <w:r w:rsidR="003A7542">
              <w:rPr>
                <w:rFonts w:ascii="Verdana" w:hAnsi="Verdana"/>
                <w:b w:val="0"/>
                <w:i/>
                <w:sz w:val="18"/>
                <w:szCs w:val="18"/>
                <w:lang w:val="hu-HU"/>
              </w:rPr>
              <w:t>és</w:t>
            </w:r>
            <w:r w:rsidR="00817956">
              <w:rPr>
                <w:rFonts w:ascii="Verdana" w:hAnsi="Verdana"/>
                <w:b w:val="0"/>
                <w:i/>
                <w:sz w:val="18"/>
                <w:szCs w:val="18"/>
                <w:lang w:val="hu-HU"/>
              </w:rPr>
              <w:t xml:space="preserve"> </w:t>
            </w:r>
            <w:proofErr w:type="spellStart"/>
            <w:r w:rsidRPr="000C29F0">
              <w:rPr>
                <w:rFonts w:ascii="Verdana" w:hAnsi="Verdana"/>
                <w:b w:val="0"/>
                <w:i/>
                <w:iCs/>
                <w:sz w:val="18"/>
                <w:szCs w:val="18"/>
                <w:lang w:val="hu-HU"/>
              </w:rPr>
              <w:t>Begheluri</w:t>
            </w:r>
            <w:proofErr w:type="spellEnd"/>
            <w:r w:rsidR="00817956">
              <w:rPr>
                <w:rFonts w:ascii="Verdana" w:hAnsi="Verdana"/>
                <w:b w:val="0"/>
                <w:i/>
                <w:iCs/>
                <w:sz w:val="18"/>
                <w:szCs w:val="18"/>
                <w:lang w:val="hu-HU"/>
              </w:rPr>
              <w:t xml:space="preserve"> </w:t>
            </w:r>
            <w:r w:rsidR="003A7542">
              <w:rPr>
                <w:rFonts w:ascii="Verdana" w:hAnsi="Verdana"/>
                <w:b w:val="0"/>
                <w:i/>
                <w:iCs/>
                <w:sz w:val="18"/>
                <w:szCs w:val="18"/>
                <w:lang w:val="hu-HU"/>
              </w:rPr>
              <w:t xml:space="preserve">és társai, </w:t>
            </w:r>
            <w:r w:rsidRPr="000C29F0">
              <w:rPr>
                <w:rFonts w:ascii="Verdana" w:hAnsi="Verdana"/>
                <w:b w:val="0"/>
                <w:i/>
                <w:sz w:val="18"/>
                <w:szCs w:val="18"/>
                <w:lang w:val="hu-HU"/>
              </w:rPr>
              <w:t>141</w:t>
            </w:r>
            <w:r w:rsidR="003A7542">
              <w:rPr>
                <w:rFonts w:ascii="Verdana" w:hAnsi="Verdana"/>
                <w:b w:val="0"/>
                <w:i/>
                <w:sz w:val="18"/>
                <w:szCs w:val="18"/>
                <w:lang w:val="hu-HU"/>
              </w:rPr>
              <w:t>.</w:t>
            </w:r>
            <w:r w:rsidRPr="000C29F0">
              <w:rPr>
                <w:rFonts w:ascii="Verdana" w:hAnsi="Verdana"/>
                <w:b w:val="0"/>
                <w:i/>
                <w:sz w:val="18"/>
                <w:szCs w:val="18"/>
                <w:lang w:val="hu-HU"/>
              </w:rPr>
              <w:t>, 142</w:t>
            </w:r>
            <w:r w:rsidR="003A7542">
              <w:rPr>
                <w:rFonts w:ascii="Verdana" w:hAnsi="Verdana"/>
                <w:b w:val="0"/>
                <w:i/>
                <w:sz w:val="18"/>
                <w:szCs w:val="18"/>
                <w:lang w:val="hu-HU"/>
              </w:rPr>
              <w:t xml:space="preserve">.és </w:t>
            </w:r>
            <w:r w:rsidRPr="000C29F0">
              <w:rPr>
                <w:rFonts w:ascii="Verdana" w:hAnsi="Verdana"/>
                <w:b w:val="0"/>
                <w:i/>
                <w:sz w:val="18"/>
                <w:szCs w:val="18"/>
                <w:lang w:val="hu-HU"/>
              </w:rPr>
              <w:t>175</w:t>
            </w:r>
            <w:r w:rsidR="003A7542">
              <w:rPr>
                <w:rFonts w:ascii="Verdana" w:hAnsi="Verdana"/>
                <w:b w:val="0"/>
                <w:i/>
                <w:sz w:val="18"/>
                <w:szCs w:val="18"/>
                <w:lang w:val="hu-HU"/>
              </w:rPr>
              <w:t>. bekezdés</w:t>
            </w:r>
            <w:r w:rsidRPr="000C29F0">
              <w:rPr>
                <w:rFonts w:ascii="Verdana" w:hAnsi="Verdana"/>
                <w:b w:val="0"/>
                <w:i/>
                <w:sz w:val="18"/>
                <w:szCs w:val="18"/>
                <w:lang w:val="hu-HU"/>
              </w:rPr>
              <w:t xml:space="preserve">, </w:t>
            </w:r>
            <w:r w:rsidR="003A7542">
              <w:rPr>
                <w:rFonts w:ascii="Verdana" w:hAnsi="Verdana"/>
                <w:b w:val="0"/>
                <w:i/>
                <w:sz w:val="18"/>
                <w:szCs w:val="18"/>
                <w:lang w:val="hu-HU"/>
              </w:rPr>
              <w:t>mint fent</w:t>
            </w:r>
            <w:r w:rsidRPr="000C29F0">
              <w:rPr>
                <w:rFonts w:ascii="Verdana" w:hAnsi="Verdana"/>
                <w:b w:val="0"/>
                <w:i/>
                <w:sz w:val="18"/>
                <w:szCs w:val="18"/>
                <w:lang w:val="hu-HU"/>
              </w:rPr>
              <w:t>).</w:t>
            </w:r>
          </w:p>
          <w:p w:rsidR="00BF7CAD" w:rsidRPr="000C29F0" w:rsidRDefault="00BF7CAD" w:rsidP="00BF7CAD">
            <w:pPr>
              <w:ind w:left="720"/>
              <w:contextualSpacing/>
              <w:jc w:val="both"/>
              <w:rPr>
                <w:rFonts w:ascii="Verdana" w:hAnsi="Verdana"/>
                <w:b w:val="0"/>
                <w:i/>
                <w:sz w:val="18"/>
                <w:szCs w:val="18"/>
                <w:lang w:val="hu-HU"/>
              </w:rPr>
            </w:pPr>
          </w:p>
          <w:p w:rsidR="00BF7CAD" w:rsidRPr="000C29F0" w:rsidRDefault="00BF7CAD" w:rsidP="0048060F">
            <w:pPr>
              <w:ind w:left="720"/>
              <w:contextualSpacing/>
              <w:jc w:val="both"/>
              <w:rPr>
                <w:rFonts w:ascii="Verdana" w:hAnsi="Verdana"/>
                <w:b w:val="0"/>
                <w:i/>
                <w:sz w:val="18"/>
                <w:szCs w:val="18"/>
                <w:lang w:val="hu-HU"/>
              </w:rPr>
            </w:pPr>
            <w:r w:rsidRPr="000C29F0">
              <w:rPr>
                <w:rFonts w:ascii="Verdana" w:eastAsia="MS Mincho" w:hAnsi="Verdana" w:cs="Times New Roman"/>
                <w:b w:val="0"/>
                <w:i/>
                <w:sz w:val="18"/>
                <w:szCs w:val="18"/>
                <w:u w:val="single"/>
                <w:lang w:val="hu-HU"/>
              </w:rPr>
              <w:t>99</w:t>
            </w:r>
            <w:r w:rsidR="003A7542">
              <w:rPr>
                <w:rFonts w:ascii="Verdana" w:eastAsia="MS Mincho" w:hAnsi="Verdana" w:cs="Times New Roman"/>
                <w:b w:val="0"/>
                <w:i/>
                <w:sz w:val="18"/>
                <w:szCs w:val="18"/>
                <w:u w:val="single"/>
                <w:lang w:val="hu-HU"/>
              </w:rPr>
              <w:t>. bekezdés</w:t>
            </w:r>
            <w:r w:rsidRPr="000C29F0">
              <w:rPr>
                <w:rFonts w:ascii="Verdana" w:eastAsia="MS Mincho" w:hAnsi="Verdana" w:cs="Times New Roman"/>
                <w:b w:val="0"/>
                <w:i/>
                <w:sz w:val="18"/>
                <w:szCs w:val="18"/>
                <w:lang w:val="hu-HU"/>
              </w:rPr>
              <w:t>:</w:t>
            </w:r>
            <w:r w:rsidRPr="000C29F0">
              <w:rPr>
                <w:rFonts w:ascii="Verdana" w:hAnsi="Verdana"/>
                <w:b w:val="0"/>
                <w:i/>
                <w:sz w:val="18"/>
                <w:szCs w:val="18"/>
                <w:lang w:val="hu-HU"/>
              </w:rPr>
              <w:t xml:space="preserve">(…) </w:t>
            </w:r>
            <w:proofErr w:type="gramStart"/>
            <w:r w:rsidR="003A7542">
              <w:rPr>
                <w:rFonts w:ascii="Verdana" w:hAnsi="Verdana"/>
                <w:b w:val="0"/>
                <w:i/>
                <w:sz w:val="18"/>
                <w:szCs w:val="18"/>
                <w:lang w:val="hu-HU"/>
              </w:rPr>
              <w:t>A</w:t>
            </w:r>
            <w:proofErr w:type="gramEnd"/>
            <w:r w:rsidR="003A7542">
              <w:rPr>
                <w:rFonts w:ascii="Verdana" w:hAnsi="Verdana"/>
                <w:b w:val="0"/>
                <w:i/>
                <w:sz w:val="18"/>
                <w:szCs w:val="18"/>
                <w:lang w:val="hu-HU"/>
              </w:rPr>
              <w:t xml:space="preserve"> Bíróság ismételten hangsúlyozza, hogy annak ellenére, hogy a nemzeti hatóságokat 2012. május 8-án előzetesen tájékoztatták a 2012. május 17-i békés felvonulás megrendezésének szándékáról, a hatóságok</w:t>
            </w:r>
            <w:r w:rsidR="00817956">
              <w:rPr>
                <w:rFonts w:ascii="Verdana" w:hAnsi="Verdana"/>
                <w:b w:val="0"/>
                <w:i/>
                <w:sz w:val="18"/>
                <w:szCs w:val="18"/>
                <w:lang w:val="hu-HU"/>
              </w:rPr>
              <w:t>nak</w:t>
            </w:r>
            <w:r w:rsidR="003A7542">
              <w:rPr>
                <w:rFonts w:ascii="Verdana" w:hAnsi="Verdana"/>
                <w:b w:val="0"/>
                <w:i/>
                <w:sz w:val="18"/>
                <w:szCs w:val="18"/>
                <w:lang w:val="hu-HU"/>
              </w:rPr>
              <w:t xml:space="preserve"> a rendelkezésre álló bőséges, kilenc napos határidő </w:t>
            </w:r>
            <w:r w:rsidR="00817956">
              <w:rPr>
                <w:rFonts w:ascii="Verdana" w:hAnsi="Verdana"/>
                <w:b w:val="0"/>
                <w:i/>
                <w:sz w:val="18"/>
                <w:szCs w:val="18"/>
                <w:lang w:val="hu-HU"/>
              </w:rPr>
              <w:t>melle</w:t>
            </w:r>
            <w:r w:rsidR="003A7542">
              <w:rPr>
                <w:rFonts w:ascii="Verdana" w:hAnsi="Verdana"/>
                <w:b w:val="0"/>
                <w:i/>
                <w:sz w:val="18"/>
                <w:szCs w:val="18"/>
                <w:lang w:val="hu-HU"/>
              </w:rPr>
              <w:t xml:space="preserve">tt nem sikerült </w:t>
            </w:r>
            <w:r w:rsidR="0048060F">
              <w:rPr>
                <w:rFonts w:ascii="Verdana" w:hAnsi="Verdana"/>
                <w:b w:val="0"/>
                <w:i/>
                <w:sz w:val="18"/>
                <w:szCs w:val="18"/>
                <w:lang w:val="hu-HU"/>
              </w:rPr>
              <w:t>gondosan felkész</w:t>
            </w:r>
            <w:r w:rsidR="0048060F" w:rsidRPr="0048060F">
              <w:rPr>
                <w:rFonts w:ascii="Verdana" w:hAnsi="Verdana"/>
                <w:b w:val="0"/>
                <w:i/>
                <w:sz w:val="18"/>
                <w:szCs w:val="18"/>
                <w:lang w:val="hu-HU"/>
              </w:rPr>
              <w:t>ülniük.</w:t>
            </w:r>
            <w:r w:rsidR="0048060F" w:rsidRPr="0048060F">
              <w:rPr>
                <w:rFonts w:ascii="Verdana" w:hAnsi="Verdana"/>
                <w:b w:val="0"/>
                <w:bCs w:val="0"/>
                <w:i/>
                <w:sz w:val="18"/>
                <w:szCs w:val="18"/>
                <w:lang w:val="hu-HU"/>
              </w:rPr>
              <w:t xml:space="preserve"> Ráadásul</w:t>
            </w:r>
            <w:r w:rsidR="0048060F">
              <w:rPr>
                <w:rFonts w:ascii="Verdana" w:hAnsi="Verdana"/>
                <w:b w:val="0"/>
                <w:bCs w:val="0"/>
                <w:i/>
                <w:sz w:val="18"/>
                <w:szCs w:val="18"/>
                <w:lang w:val="hu-HU"/>
              </w:rPr>
              <w:t xml:space="preserve">, ismerve a grúz társadalom bizonyos részeinek </w:t>
            </w:r>
            <w:r w:rsidR="004E67BF">
              <w:rPr>
                <w:rFonts w:ascii="Verdana" w:hAnsi="Verdana"/>
                <w:b w:val="0"/>
                <w:bCs w:val="0"/>
                <w:i/>
                <w:sz w:val="18"/>
                <w:szCs w:val="18"/>
                <w:lang w:val="hu-HU"/>
              </w:rPr>
              <w:t xml:space="preserve">szexuális kisebbségekhez való </w:t>
            </w:r>
            <w:r w:rsidR="0048060F">
              <w:rPr>
                <w:rFonts w:ascii="Verdana" w:hAnsi="Verdana"/>
                <w:b w:val="0"/>
                <w:bCs w:val="0"/>
                <w:i/>
                <w:sz w:val="18"/>
                <w:szCs w:val="18"/>
                <w:lang w:val="hu-HU"/>
              </w:rPr>
              <w:t>hozzáál</w:t>
            </w:r>
            <w:r w:rsidR="004E67BF">
              <w:rPr>
                <w:rFonts w:ascii="Verdana" w:hAnsi="Verdana"/>
                <w:b w:val="0"/>
                <w:bCs w:val="0"/>
                <w:i/>
                <w:sz w:val="18"/>
                <w:szCs w:val="18"/>
                <w:lang w:val="hu-HU"/>
              </w:rPr>
              <w:t>l</w:t>
            </w:r>
            <w:r w:rsidR="0048060F">
              <w:rPr>
                <w:rFonts w:ascii="Verdana" w:hAnsi="Verdana"/>
                <w:b w:val="0"/>
                <w:bCs w:val="0"/>
                <w:i/>
                <w:sz w:val="18"/>
                <w:szCs w:val="18"/>
                <w:lang w:val="hu-HU"/>
              </w:rPr>
              <w:t xml:space="preserve">ását, a hatóságoknak tudniuk kellett volna, hogy feszültségekre lehet számítani a kérelmező szervezet által a Nemzetközi Homofóbia Ellenes Nap megünneplésére szervezett utcai felvonulással kapcsolatban. Így kötelességük lett volna minden lehetséges </w:t>
            </w:r>
            <w:r w:rsidR="00126FFB">
              <w:rPr>
                <w:rFonts w:ascii="Verdana" w:hAnsi="Verdana"/>
                <w:b w:val="0"/>
                <w:bCs w:val="0"/>
                <w:i/>
                <w:sz w:val="18"/>
                <w:szCs w:val="18"/>
                <w:lang w:val="hu-HU"/>
              </w:rPr>
              <w:t>e</w:t>
            </w:r>
            <w:r w:rsidR="0048060F">
              <w:rPr>
                <w:rFonts w:ascii="Verdana" w:hAnsi="Verdana"/>
                <w:b w:val="0"/>
                <w:bCs w:val="0"/>
                <w:i/>
                <w:sz w:val="18"/>
                <w:szCs w:val="18"/>
                <w:lang w:val="hu-HU"/>
              </w:rPr>
              <w:t>szközt felhasználni, például nyilvános felhívásokat közzétenni a felvonulást megelőzően, amelyekben egyértelműen kiállnak a toleráns, békés hozzáállás mellett (</w:t>
            </w:r>
            <w:proofErr w:type="spellStart"/>
            <w:r w:rsidR="0048060F">
              <w:rPr>
                <w:rFonts w:ascii="Verdana" w:hAnsi="Verdana"/>
                <w:b w:val="0"/>
                <w:i/>
                <w:sz w:val="18"/>
                <w:szCs w:val="18"/>
                <w:lang w:val="hu-HU"/>
              </w:rPr>
              <w:t>v.ö</w:t>
            </w:r>
            <w:proofErr w:type="spellEnd"/>
            <w:r w:rsidR="0048060F">
              <w:rPr>
                <w:rFonts w:ascii="Verdana" w:hAnsi="Verdana"/>
                <w:b w:val="0"/>
                <w:i/>
                <w:sz w:val="18"/>
                <w:szCs w:val="18"/>
                <w:lang w:val="hu-HU"/>
              </w:rPr>
              <w:t>.</w:t>
            </w:r>
            <w:r w:rsidR="00817956">
              <w:rPr>
                <w:rFonts w:ascii="Verdana" w:hAnsi="Verdana"/>
                <w:b w:val="0"/>
                <w:i/>
                <w:sz w:val="18"/>
                <w:szCs w:val="18"/>
                <w:lang w:val="hu-HU"/>
              </w:rPr>
              <w:t xml:space="preserve"> </w:t>
            </w:r>
            <w:proofErr w:type="spellStart"/>
            <w:r w:rsidRPr="000C29F0">
              <w:rPr>
                <w:rFonts w:ascii="Verdana" w:hAnsi="Verdana"/>
                <w:b w:val="0"/>
                <w:i/>
                <w:sz w:val="18"/>
                <w:szCs w:val="18"/>
                <w:lang w:val="hu-HU"/>
              </w:rPr>
              <w:t>Ouranio</w:t>
            </w:r>
            <w:proofErr w:type="spellEnd"/>
            <w:r w:rsidR="00817956">
              <w:rPr>
                <w:rFonts w:ascii="Verdana" w:hAnsi="Verdana"/>
                <w:b w:val="0"/>
                <w:i/>
                <w:sz w:val="18"/>
                <w:szCs w:val="18"/>
                <w:lang w:val="hu-HU"/>
              </w:rPr>
              <w:t xml:space="preserve"> </w:t>
            </w:r>
            <w:proofErr w:type="spellStart"/>
            <w:r w:rsidRPr="000C29F0">
              <w:rPr>
                <w:rFonts w:ascii="Verdana" w:hAnsi="Verdana"/>
                <w:b w:val="0"/>
                <w:i/>
                <w:sz w:val="18"/>
                <w:szCs w:val="18"/>
                <w:lang w:val="hu-HU"/>
              </w:rPr>
              <w:t>Toxo</w:t>
            </w:r>
            <w:proofErr w:type="spellEnd"/>
            <w:r w:rsidRPr="000C29F0">
              <w:rPr>
                <w:rFonts w:ascii="Verdana" w:hAnsi="Verdana"/>
                <w:b w:val="0"/>
                <w:i/>
                <w:sz w:val="18"/>
                <w:szCs w:val="18"/>
                <w:lang w:val="hu-HU"/>
              </w:rPr>
              <w:t xml:space="preserve">, </w:t>
            </w:r>
            <w:r w:rsidR="0048060F">
              <w:rPr>
                <w:rFonts w:ascii="Verdana" w:hAnsi="Verdana"/>
                <w:b w:val="0"/>
                <w:i/>
                <w:sz w:val="18"/>
                <w:szCs w:val="18"/>
                <w:lang w:val="hu-HU"/>
              </w:rPr>
              <w:t>mint fent</w:t>
            </w:r>
            <w:r w:rsidRPr="000C29F0">
              <w:rPr>
                <w:rFonts w:ascii="Verdana" w:hAnsi="Verdana"/>
                <w:b w:val="0"/>
                <w:i/>
                <w:sz w:val="18"/>
                <w:szCs w:val="18"/>
                <w:lang w:val="hu-HU"/>
              </w:rPr>
              <w:t>, 42</w:t>
            </w:r>
            <w:r w:rsidR="0048060F">
              <w:rPr>
                <w:rFonts w:ascii="Verdana" w:hAnsi="Verdana"/>
                <w:b w:val="0"/>
                <w:i/>
                <w:sz w:val="18"/>
                <w:szCs w:val="18"/>
                <w:lang w:val="hu-HU"/>
              </w:rPr>
              <w:t>. bekezdés</w:t>
            </w:r>
            <w:r w:rsidRPr="000C29F0">
              <w:rPr>
                <w:rFonts w:ascii="Verdana" w:hAnsi="Verdana"/>
                <w:b w:val="0"/>
                <w:i/>
                <w:sz w:val="18"/>
                <w:szCs w:val="18"/>
                <w:lang w:val="hu-HU"/>
              </w:rPr>
              <w:t xml:space="preserve">) </w:t>
            </w:r>
            <w:r w:rsidR="0048060F">
              <w:rPr>
                <w:rFonts w:ascii="Verdana" w:hAnsi="Verdana"/>
                <w:b w:val="0"/>
                <w:i/>
                <w:sz w:val="18"/>
                <w:szCs w:val="18"/>
                <w:lang w:val="hu-HU"/>
              </w:rPr>
              <w:t xml:space="preserve">és figyelmeztetik a potenciális törvénysértőket a várható szankciókra. Továbbá az is nyilvánvaló volt </w:t>
            </w:r>
            <w:r w:rsidR="00126FFB">
              <w:rPr>
                <w:rFonts w:ascii="Verdana" w:hAnsi="Verdana"/>
                <w:b w:val="0"/>
                <w:i/>
                <w:sz w:val="18"/>
                <w:szCs w:val="18"/>
                <w:lang w:val="hu-HU"/>
              </w:rPr>
              <w:t xml:space="preserve">az LMBT felvonulás kimeneteléből, hogy </w:t>
            </w:r>
            <w:r w:rsidR="00817956">
              <w:rPr>
                <w:rFonts w:ascii="Verdana" w:hAnsi="Verdana"/>
                <w:b w:val="0"/>
                <w:i/>
                <w:sz w:val="18"/>
                <w:szCs w:val="18"/>
                <w:lang w:val="hu-HU"/>
              </w:rPr>
              <w:t xml:space="preserve">a </w:t>
            </w:r>
            <w:r w:rsidR="00126FFB">
              <w:rPr>
                <w:rFonts w:ascii="Verdana" w:hAnsi="Verdana"/>
                <w:b w:val="0"/>
                <w:i/>
                <w:sz w:val="18"/>
                <w:szCs w:val="18"/>
                <w:lang w:val="hu-HU"/>
              </w:rPr>
              <w:t>helyszínre kivezényelt rendőrjárőrök száma nem volt elegendő, és a helyi hatóságok részéről az lett volna az előrelátó döntés, ha az utcai összecsapások lehetőségére tekintettel több ember</w:t>
            </w:r>
            <w:r w:rsidR="004E67BF">
              <w:rPr>
                <w:rFonts w:ascii="Verdana" w:hAnsi="Verdana"/>
                <w:b w:val="0"/>
                <w:i/>
                <w:sz w:val="18"/>
                <w:szCs w:val="18"/>
                <w:lang w:val="hu-HU"/>
              </w:rPr>
              <w:t>t</w:t>
            </w:r>
            <w:r w:rsidR="00126FFB">
              <w:rPr>
                <w:rFonts w:ascii="Verdana" w:hAnsi="Verdana"/>
                <w:b w:val="0"/>
                <w:i/>
                <w:sz w:val="18"/>
                <w:szCs w:val="18"/>
                <w:lang w:val="hu-HU"/>
              </w:rPr>
              <w:t xml:space="preserve"> biztosítanak az eseményre, például kivezénylik a különleges alakulatok egy osztagát (</w:t>
            </w:r>
            <w:proofErr w:type="spellStart"/>
            <w:r w:rsidR="00126FFB">
              <w:rPr>
                <w:rFonts w:ascii="Verdana" w:hAnsi="Verdana"/>
                <w:b w:val="0"/>
                <w:i/>
                <w:sz w:val="18"/>
                <w:szCs w:val="18"/>
                <w:lang w:val="hu-HU"/>
              </w:rPr>
              <w:t>v.ö</w:t>
            </w:r>
            <w:proofErr w:type="gramStart"/>
            <w:r w:rsidR="00126FFB">
              <w:rPr>
                <w:rFonts w:ascii="Verdana" w:hAnsi="Verdana"/>
                <w:b w:val="0"/>
                <w:i/>
                <w:sz w:val="18"/>
                <w:szCs w:val="18"/>
                <w:lang w:val="hu-HU"/>
              </w:rPr>
              <w:t>.</w:t>
            </w:r>
            <w:r w:rsidRPr="000C29F0">
              <w:rPr>
                <w:rFonts w:ascii="Verdana" w:hAnsi="Verdana"/>
                <w:b w:val="0"/>
                <w:i/>
                <w:sz w:val="18"/>
                <w:szCs w:val="18"/>
                <w:lang w:val="hu-HU"/>
              </w:rPr>
              <w:t>Plattform</w:t>
            </w:r>
            <w:proofErr w:type="spellEnd"/>
            <w:proofErr w:type="gramEnd"/>
            <w:r w:rsidRPr="000C29F0">
              <w:rPr>
                <w:rFonts w:ascii="Verdana" w:hAnsi="Verdana"/>
                <w:b w:val="0"/>
                <w:i/>
                <w:sz w:val="18"/>
                <w:szCs w:val="18"/>
                <w:lang w:val="hu-HU"/>
              </w:rPr>
              <w:t xml:space="preserve"> “</w:t>
            </w:r>
            <w:proofErr w:type="spellStart"/>
            <w:r w:rsidRPr="000C29F0">
              <w:rPr>
                <w:rFonts w:ascii="Verdana" w:hAnsi="Verdana"/>
                <w:b w:val="0"/>
                <w:i/>
                <w:sz w:val="18"/>
                <w:szCs w:val="18"/>
                <w:lang w:val="hu-HU"/>
              </w:rPr>
              <w:t>ÄrztefürdasLeben</w:t>
            </w:r>
            <w:proofErr w:type="spellEnd"/>
            <w:r w:rsidRPr="000C29F0">
              <w:rPr>
                <w:rFonts w:ascii="Verdana" w:hAnsi="Verdana"/>
                <w:b w:val="0"/>
                <w:i/>
                <w:sz w:val="18"/>
                <w:szCs w:val="18"/>
                <w:lang w:val="hu-HU"/>
              </w:rPr>
              <w:t>”, 37</w:t>
            </w:r>
            <w:r w:rsidR="00126FFB">
              <w:rPr>
                <w:rFonts w:ascii="Verdana" w:hAnsi="Verdana"/>
                <w:b w:val="0"/>
                <w:i/>
                <w:sz w:val="18"/>
                <w:szCs w:val="18"/>
                <w:lang w:val="hu-HU"/>
              </w:rPr>
              <w:t>.és</w:t>
            </w:r>
            <w:r w:rsidRPr="000C29F0">
              <w:rPr>
                <w:rFonts w:ascii="Verdana" w:hAnsi="Verdana"/>
                <w:b w:val="0"/>
                <w:i/>
                <w:sz w:val="18"/>
                <w:szCs w:val="18"/>
                <w:lang w:val="hu-HU"/>
              </w:rPr>
              <w:t xml:space="preserve"> 38</w:t>
            </w:r>
            <w:r w:rsidR="00126FFB">
              <w:rPr>
                <w:rFonts w:ascii="Verdana" w:hAnsi="Verdana"/>
                <w:b w:val="0"/>
                <w:i/>
                <w:sz w:val="18"/>
                <w:szCs w:val="18"/>
                <w:lang w:val="hu-HU"/>
              </w:rPr>
              <w:t>. bekezdés</w:t>
            </w:r>
            <w:r w:rsidRPr="000C29F0">
              <w:rPr>
                <w:rFonts w:ascii="Verdana" w:hAnsi="Verdana"/>
                <w:b w:val="0"/>
                <w:i/>
                <w:sz w:val="18"/>
                <w:szCs w:val="18"/>
                <w:lang w:val="hu-HU"/>
              </w:rPr>
              <w:t xml:space="preserve">; </w:t>
            </w:r>
            <w:proofErr w:type="spellStart"/>
            <w:r w:rsidR="00126FFB">
              <w:rPr>
                <w:rFonts w:ascii="Verdana" w:hAnsi="Verdana"/>
                <w:b w:val="0"/>
                <w:i/>
                <w:sz w:val="18"/>
                <w:szCs w:val="18"/>
                <w:lang w:val="hu-HU"/>
              </w:rPr>
              <w:t>illetve</w:t>
            </w:r>
            <w:r w:rsidRPr="000C29F0">
              <w:rPr>
                <w:rFonts w:ascii="Verdana" w:hAnsi="Verdana"/>
                <w:b w:val="0"/>
                <w:i/>
                <w:sz w:val="18"/>
                <w:szCs w:val="18"/>
                <w:lang w:val="hu-HU"/>
              </w:rPr>
              <w:t>OuranioToxo</w:t>
            </w:r>
            <w:proofErr w:type="spellEnd"/>
            <w:r w:rsidRPr="000C29F0">
              <w:rPr>
                <w:rFonts w:ascii="Verdana" w:hAnsi="Verdana"/>
                <w:b w:val="0"/>
                <w:i/>
                <w:sz w:val="18"/>
                <w:szCs w:val="18"/>
                <w:lang w:val="hu-HU"/>
              </w:rPr>
              <w:t xml:space="preserve">, </w:t>
            </w:r>
            <w:r w:rsidR="00126FFB">
              <w:rPr>
                <w:rFonts w:ascii="Verdana" w:hAnsi="Verdana"/>
                <w:b w:val="0"/>
                <w:i/>
                <w:sz w:val="18"/>
                <w:szCs w:val="18"/>
                <w:lang w:val="hu-HU"/>
              </w:rPr>
              <w:t>mint fent</w:t>
            </w:r>
            <w:r w:rsidRPr="000C29F0">
              <w:rPr>
                <w:rFonts w:ascii="Verdana" w:hAnsi="Verdana"/>
                <w:b w:val="0"/>
                <w:i/>
                <w:sz w:val="18"/>
                <w:szCs w:val="18"/>
                <w:lang w:val="hu-HU"/>
              </w:rPr>
              <w:t>, 43</w:t>
            </w:r>
            <w:r w:rsidR="00126FFB">
              <w:rPr>
                <w:rFonts w:ascii="Verdana" w:hAnsi="Verdana"/>
                <w:b w:val="0"/>
                <w:i/>
                <w:sz w:val="18"/>
                <w:szCs w:val="18"/>
                <w:lang w:val="hu-HU"/>
              </w:rPr>
              <w:t>. bekezdés</w:t>
            </w:r>
            <w:r w:rsidRPr="000C29F0">
              <w:rPr>
                <w:rFonts w:ascii="Verdana" w:hAnsi="Verdana"/>
                <w:b w:val="0"/>
                <w:i/>
                <w:sz w:val="18"/>
                <w:szCs w:val="18"/>
                <w:lang w:val="hu-HU"/>
              </w:rPr>
              <w:t>).</w:t>
            </w:r>
          </w:p>
        </w:tc>
      </w:tr>
    </w:tbl>
    <w:p w:rsidR="00146D72" w:rsidRDefault="00146D72" w:rsidP="004435C2">
      <w:pPr>
        <w:pStyle w:val="Cmsor1"/>
        <w:rPr>
          <w:lang w:eastAsia="en-US"/>
        </w:rPr>
      </w:pPr>
    </w:p>
    <w:p w:rsidR="004435C2" w:rsidRPr="000C29F0" w:rsidRDefault="001406E9" w:rsidP="004435C2">
      <w:pPr>
        <w:pStyle w:val="Cmsor1"/>
        <w:rPr>
          <w:rStyle w:val="Finomkiemels"/>
          <w:rFonts w:ascii="Verdana" w:eastAsia="MS Mincho" w:hAnsi="Verdana" w:cs="Times New Roman"/>
          <w:b/>
          <w:bCs/>
          <w:i w:val="0"/>
          <w:iCs w:val="0"/>
          <w:color w:val="4F81BD"/>
          <w:sz w:val="19"/>
          <w:szCs w:val="19"/>
          <w:lang w:eastAsia="en-US"/>
        </w:rPr>
      </w:pPr>
      <w:bookmarkStart w:id="8" w:name="_Toc515458777"/>
      <w:r w:rsidRPr="000C29F0">
        <w:rPr>
          <w:lang w:eastAsia="en-US"/>
        </w:rPr>
        <w:t>3</w:t>
      </w:r>
      <w:r w:rsidR="004435C2" w:rsidRPr="000C29F0">
        <w:rPr>
          <w:lang w:eastAsia="en-US"/>
        </w:rPr>
        <w:t xml:space="preserve">. </w:t>
      </w:r>
      <w:r w:rsidR="00126FFB">
        <w:rPr>
          <w:lang w:eastAsia="en-US"/>
        </w:rPr>
        <w:t>A gyűlölet-bűncselekmények kez</w:t>
      </w:r>
      <w:r w:rsidR="00817956">
        <w:rPr>
          <w:lang w:eastAsia="en-US"/>
        </w:rPr>
        <w:t>e</w:t>
      </w:r>
      <w:r w:rsidR="00126FFB">
        <w:rPr>
          <w:lang w:eastAsia="en-US"/>
        </w:rPr>
        <w:t>lése</w:t>
      </w:r>
      <w:bookmarkEnd w:id="8"/>
    </w:p>
    <w:p w:rsidR="001978D6" w:rsidRPr="000C29F0" w:rsidRDefault="001978D6" w:rsidP="004435C2">
      <w:pPr>
        <w:jc w:val="both"/>
        <w:rPr>
          <w:rStyle w:val="Finomkiemels"/>
        </w:rPr>
      </w:pPr>
    </w:p>
    <w:p w:rsidR="004435C2" w:rsidRPr="000C29F0" w:rsidRDefault="00126FFB" w:rsidP="004435C2">
      <w:pPr>
        <w:jc w:val="both"/>
        <w:rPr>
          <w:rStyle w:val="Finomkiemels"/>
          <w:rFonts w:ascii="Times New Roman" w:hAnsi="Times New Roman" w:cs="Times New Roman"/>
          <w:i w:val="0"/>
          <w:szCs w:val="24"/>
        </w:rPr>
      </w:pPr>
      <w:r>
        <w:rPr>
          <w:rStyle w:val="Finomkiemels"/>
        </w:rPr>
        <w:t>A gyűlölet-bűncs</w:t>
      </w:r>
      <w:r w:rsidR="00817956">
        <w:rPr>
          <w:rStyle w:val="Finomkiemels"/>
        </w:rPr>
        <w:t>e</w:t>
      </w:r>
      <w:r>
        <w:rPr>
          <w:rStyle w:val="Finomkiemels"/>
        </w:rPr>
        <w:t>lekmények az áldozat emberi méltóságát és egyéni mivoltát</w:t>
      </w:r>
      <w:r w:rsidR="00CA6153">
        <w:rPr>
          <w:rStyle w:val="Finomkiemels"/>
        </w:rPr>
        <w:t xml:space="preserve"> sértik</w:t>
      </w:r>
      <w:r>
        <w:rPr>
          <w:rStyle w:val="Finomkiemels"/>
        </w:rPr>
        <w:t>, és azt az alapelvet, hogy minden egyén azonos törvény előtti védelemre jogosult</w:t>
      </w:r>
      <w:r w:rsidR="004435C2" w:rsidRPr="000C29F0">
        <w:rPr>
          <w:rStyle w:val="Finomkiemels"/>
          <w:rFonts w:ascii="Times New Roman" w:hAnsi="Times New Roman" w:cs="Times New Roman"/>
          <w:szCs w:val="24"/>
        </w:rPr>
        <w:t>.</w:t>
      </w:r>
      <w:r w:rsidR="004435C2" w:rsidRPr="000C29F0">
        <w:rPr>
          <w:rStyle w:val="Lbjegyzet-hivatkozs"/>
          <w:rFonts w:ascii="Times New Roman" w:hAnsi="Times New Roman" w:cs="Times New Roman"/>
          <w:iCs/>
          <w:szCs w:val="24"/>
        </w:rPr>
        <w:footnoteReference w:id="31"/>
      </w:r>
    </w:p>
    <w:p w:rsidR="004435C2" w:rsidRPr="000C29F0" w:rsidRDefault="00126FFB" w:rsidP="00E81AE3">
      <w:pPr>
        <w:ind w:firstLine="720"/>
        <w:jc w:val="both"/>
        <w:rPr>
          <w:rFonts w:ascii="Times New Roman" w:hAnsi="Times New Roman" w:cs="Times New Roman"/>
          <w:iCs/>
          <w:sz w:val="24"/>
          <w:szCs w:val="24"/>
        </w:rPr>
      </w:pPr>
      <w:r>
        <w:rPr>
          <w:rFonts w:ascii="Times New Roman" w:hAnsi="Times New Roman" w:cs="Times New Roman"/>
          <w:iCs/>
          <w:sz w:val="24"/>
          <w:szCs w:val="24"/>
        </w:rPr>
        <w:t>Nyilvánvaló, hogy a gyűlölet-bűncselekmények kezelésének szükségessége n</w:t>
      </w:r>
      <w:r w:rsidR="004E67BF">
        <w:rPr>
          <w:rFonts w:ascii="Times New Roman" w:hAnsi="Times New Roman" w:cs="Times New Roman"/>
          <w:iCs/>
          <w:sz w:val="24"/>
          <w:szCs w:val="24"/>
        </w:rPr>
        <w:t>e</w:t>
      </w:r>
      <w:r>
        <w:rPr>
          <w:rFonts w:ascii="Times New Roman" w:hAnsi="Times New Roman" w:cs="Times New Roman"/>
          <w:iCs/>
          <w:sz w:val="24"/>
          <w:szCs w:val="24"/>
        </w:rPr>
        <w:t xml:space="preserve">m csak az </w:t>
      </w:r>
      <w:proofErr w:type="gramStart"/>
      <w:r w:rsidR="00CA6153">
        <w:rPr>
          <w:rFonts w:ascii="Times New Roman" w:hAnsi="Times New Roman" w:cs="Times New Roman"/>
          <w:iCs/>
          <w:sz w:val="24"/>
          <w:szCs w:val="24"/>
        </w:rPr>
        <w:t>á</w:t>
      </w:r>
      <w:r>
        <w:rPr>
          <w:rFonts w:ascii="Times New Roman" w:hAnsi="Times New Roman" w:cs="Times New Roman"/>
          <w:iCs/>
          <w:sz w:val="24"/>
          <w:szCs w:val="24"/>
        </w:rPr>
        <w:t>ldozat(</w:t>
      </w:r>
      <w:proofErr w:type="gramEnd"/>
      <w:r>
        <w:rPr>
          <w:rFonts w:ascii="Times New Roman" w:hAnsi="Times New Roman" w:cs="Times New Roman"/>
          <w:iCs/>
          <w:sz w:val="24"/>
          <w:szCs w:val="24"/>
        </w:rPr>
        <w:t xml:space="preserve">ok) megvédésének szükségességéből fakad, hanem </w:t>
      </w:r>
      <w:r w:rsidR="00E81AE3">
        <w:rPr>
          <w:rFonts w:ascii="Times New Roman" w:hAnsi="Times New Roman" w:cs="Times New Roman"/>
          <w:iCs/>
          <w:sz w:val="24"/>
          <w:szCs w:val="24"/>
        </w:rPr>
        <w:t xml:space="preserve">annak </w:t>
      </w:r>
      <w:r w:rsidR="00E81AE3">
        <w:rPr>
          <w:rFonts w:ascii="Times New Roman" w:hAnsi="Times New Roman" w:cs="Times New Roman"/>
          <w:iCs/>
          <w:sz w:val="24"/>
          <w:szCs w:val="24"/>
        </w:rPr>
        <w:lastRenderedPageBreak/>
        <w:t>szükségességéből is, hogy megerősítsük, az emberi jogok és a törvények valóban minden egyes állampolgárra nézve egyenlő mértékben érvényesek. Végső soron arról van szó, hogy biztosítsuk, hogy a demokratikus értékek a gyakorlatban is megvalósul</w:t>
      </w:r>
      <w:r w:rsidR="00CA6153">
        <w:rPr>
          <w:rFonts w:ascii="Times New Roman" w:hAnsi="Times New Roman" w:cs="Times New Roman"/>
          <w:iCs/>
          <w:sz w:val="24"/>
          <w:szCs w:val="24"/>
        </w:rPr>
        <w:t>ja</w:t>
      </w:r>
      <w:r w:rsidR="00E81AE3">
        <w:rPr>
          <w:rFonts w:ascii="Times New Roman" w:hAnsi="Times New Roman" w:cs="Times New Roman"/>
          <w:iCs/>
          <w:sz w:val="24"/>
          <w:szCs w:val="24"/>
        </w:rPr>
        <w:t>nak a modern társad</w:t>
      </w:r>
      <w:r w:rsidR="004E67BF">
        <w:rPr>
          <w:rFonts w:ascii="Times New Roman" w:hAnsi="Times New Roman" w:cs="Times New Roman"/>
          <w:iCs/>
          <w:sz w:val="24"/>
          <w:szCs w:val="24"/>
        </w:rPr>
        <w:t>al</w:t>
      </w:r>
      <w:r w:rsidR="00E81AE3">
        <w:rPr>
          <w:rFonts w:ascii="Times New Roman" w:hAnsi="Times New Roman" w:cs="Times New Roman"/>
          <w:iCs/>
          <w:sz w:val="24"/>
          <w:szCs w:val="24"/>
        </w:rPr>
        <w:t>makban, és így hozzájáruljunk a társadalmon belüli békés kapcsolatok megalapozásához. Ebben az összefüggésben a gy</w:t>
      </w:r>
      <w:r w:rsidR="004E67BF">
        <w:rPr>
          <w:rFonts w:ascii="Times New Roman" w:hAnsi="Times New Roman" w:cs="Times New Roman"/>
          <w:iCs/>
          <w:sz w:val="24"/>
          <w:szCs w:val="24"/>
        </w:rPr>
        <w:t>ű</w:t>
      </w:r>
      <w:r w:rsidR="00E81AE3">
        <w:rPr>
          <w:rFonts w:ascii="Times New Roman" w:hAnsi="Times New Roman" w:cs="Times New Roman"/>
          <w:iCs/>
          <w:sz w:val="24"/>
          <w:szCs w:val="24"/>
        </w:rPr>
        <w:t>lölet-bűncs</w:t>
      </w:r>
      <w:r w:rsidR="004E67BF">
        <w:rPr>
          <w:rFonts w:ascii="Times New Roman" w:hAnsi="Times New Roman" w:cs="Times New Roman"/>
          <w:iCs/>
          <w:sz w:val="24"/>
          <w:szCs w:val="24"/>
        </w:rPr>
        <w:t>e</w:t>
      </w:r>
      <w:r w:rsidR="00E81AE3">
        <w:rPr>
          <w:rFonts w:ascii="Times New Roman" w:hAnsi="Times New Roman" w:cs="Times New Roman"/>
          <w:iCs/>
          <w:sz w:val="24"/>
          <w:szCs w:val="24"/>
        </w:rPr>
        <w:t>lekményekre vonatkozó jogszabályoknak kettős funkciójuk van: a szimbolikus funkció, amelynek célja annak az üzenetnek a világos közlése, hogy a társadalom nem tolerálja az el</w:t>
      </w:r>
      <w:r w:rsidR="00CA6153">
        <w:rPr>
          <w:rFonts w:ascii="Times New Roman" w:hAnsi="Times New Roman" w:cs="Times New Roman"/>
          <w:iCs/>
          <w:sz w:val="24"/>
          <w:szCs w:val="24"/>
        </w:rPr>
        <w:t>őítélete</w:t>
      </w:r>
      <w:r w:rsidR="00E81AE3">
        <w:rPr>
          <w:rFonts w:ascii="Times New Roman" w:hAnsi="Times New Roman" w:cs="Times New Roman"/>
          <w:iCs/>
          <w:sz w:val="24"/>
          <w:szCs w:val="24"/>
        </w:rPr>
        <w:t>n alapuló erőszakot, és a gyakorlati funkció, amelynek célja a sérülékeny egyének és csoportok jogainak védelme</w:t>
      </w:r>
      <w:r w:rsidR="00C94705" w:rsidRPr="000C29F0">
        <w:rPr>
          <w:rFonts w:ascii="Times New Roman" w:hAnsi="Times New Roman" w:cs="Times New Roman"/>
          <w:iCs/>
          <w:sz w:val="24"/>
          <w:szCs w:val="24"/>
        </w:rPr>
        <w:t>.</w:t>
      </w:r>
      <w:r w:rsidR="00C94705" w:rsidRPr="000C29F0">
        <w:rPr>
          <w:rFonts w:ascii="Times New Roman" w:hAnsi="Times New Roman" w:cs="Times New Roman"/>
          <w:iCs/>
          <w:sz w:val="24"/>
          <w:szCs w:val="24"/>
          <w:vertAlign w:val="superscript"/>
        </w:rPr>
        <w:footnoteReference w:id="32"/>
      </w:r>
    </w:p>
    <w:p w:rsidR="004435C2" w:rsidRPr="000C29F0" w:rsidRDefault="00390626" w:rsidP="00F20EBD">
      <w:pPr>
        <w:pStyle w:val="Idzet"/>
        <w:jc w:val="both"/>
        <w:rPr>
          <w:rStyle w:val="Finomkiemels"/>
          <w:rFonts w:ascii="Times New Roman" w:hAnsi="Times New Roman" w:cs="Times New Roman"/>
          <w:i/>
          <w:color w:val="auto"/>
          <w:szCs w:val="24"/>
        </w:rPr>
      </w:pPr>
      <w:r>
        <w:rPr>
          <w:rStyle w:val="IdzetChar"/>
        </w:rPr>
        <w:t>Emiatt kell a hatóságoknak minden rendelkezésre álló eszközt felhasználniuk a rasszizmus elleni küzdelemben, és ezzel mege</w:t>
      </w:r>
      <w:r w:rsidR="00CA6153">
        <w:rPr>
          <w:rStyle w:val="IdzetChar"/>
        </w:rPr>
        <w:t>r</w:t>
      </w:r>
      <w:r>
        <w:rPr>
          <w:rStyle w:val="IdzetChar"/>
        </w:rPr>
        <w:t xml:space="preserve">ősíteni a demokrácia jövőképét egy olyan társadalomról, amelyben a sokszínűséget nem fenyegetésnek tekintik, hanem </w:t>
      </w:r>
      <w:r w:rsidR="00CA6153">
        <w:rPr>
          <w:rStyle w:val="IdzetChar"/>
        </w:rPr>
        <w:t>értéknek</w:t>
      </w:r>
      <w:r>
        <w:rPr>
          <w:rStyle w:val="IdzetChar"/>
        </w:rPr>
        <w:t xml:space="preserve"> </w:t>
      </w:r>
      <w:r w:rsidR="004435C2" w:rsidRPr="000C29F0">
        <w:rPr>
          <w:rStyle w:val="IdzetChar"/>
        </w:rPr>
        <w:t>(</w:t>
      </w:r>
      <w:proofErr w:type="spellStart"/>
      <w:r w:rsidR="004435C2" w:rsidRPr="000C29F0">
        <w:rPr>
          <w:rStyle w:val="IdzetChar"/>
        </w:rPr>
        <w:t>Nachova</w:t>
      </w:r>
      <w:proofErr w:type="spellEnd"/>
      <w:r w:rsidR="00CA6153">
        <w:rPr>
          <w:rStyle w:val="IdzetChar"/>
        </w:rPr>
        <w:t xml:space="preserve"> </w:t>
      </w:r>
      <w:r>
        <w:rPr>
          <w:rStyle w:val="IdzetChar"/>
        </w:rPr>
        <w:t>és társai kontra Bulgária</w:t>
      </w:r>
      <w:r w:rsidR="004435C2" w:rsidRPr="000C29F0">
        <w:rPr>
          <w:rStyle w:val="IdzetChar"/>
        </w:rPr>
        <w:t xml:space="preserve">; </w:t>
      </w:r>
      <w:proofErr w:type="spellStart"/>
      <w:r w:rsidR="004435C2" w:rsidRPr="000C29F0">
        <w:rPr>
          <w:rStyle w:val="IdzetChar"/>
        </w:rPr>
        <w:t>Timishev</w:t>
      </w:r>
      <w:proofErr w:type="spellEnd"/>
      <w:r w:rsidR="00CA6153">
        <w:rPr>
          <w:rStyle w:val="IdzetChar"/>
        </w:rPr>
        <w:t xml:space="preserve"> </w:t>
      </w:r>
      <w:r>
        <w:rPr>
          <w:rStyle w:val="IdzetChar"/>
        </w:rPr>
        <w:t>kontra Oroszország</w:t>
      </w:r>
      <w:r w:rsidR="004435C2" w:rsidRPr="000C29F0">
        <w:rPr>
          <w:rStyle w:val="IdzetChar"/>
        </w:rPr>
        <w:t xml:space="preserve">). </w:t>
      </w:r>
      <w:r>
        <w:rPr>
          <w:rStyle w:val="IdzetChar"/>
        </w:rPr>
        <w:t>A Bíróság azt is kimondta, hogy az emberekkel való bánásmód tekintetében semmilyen teljes egészében, vagy meghatározó mértékben a személyek etnikai származásán alapuló különbségtétel nem igazolható objektív módon a mai kor demokratikus társadalmaiban</w:t>
      </w:r>
      <w:r w:rsidR="00DB51BE">
        <w:rPr>
          <w:rStyle w:val="IdzetChar"/>
        </w:rPr>
        <w:t>, a</w:t>
      </w:r>
      <w:r w:rsidR="004E67BF">
        <w:rPr>
          <w:rStyle w:val="IdzetChar"/>
        </w:rPr>
        <w:t>me</w:t>
      </w:r>
      <w:r w:rsidR="00DB51BE">
        <w:rPr>
          <w:rStyle w:val="IdzetChar"/>
        </w:rPr>
        <w:t>lyek a pluralizmus és a más kultúrák tiszteletének alapelveire épültek</w:t>
      </w:r>
      <w:r w:rsidR="004435C2" w:rsidRPr="000C29F0">
        <w:rPr>
          <w:rStyle w:val="IdzetChar"/>
        </w:rPr>
        <w:t xml:space="preserve"> (</w:t>
      </w:r>
      <w:proofErr w:type="spellStart"/>
      <w:r w:rsidR="004435C2" w:rsidRPr="000C29F0">
        <w:rPr>
          <w:rStyle w:val="IdzetChar"/>
        </w:rPr>
        <w:t>Timishev</w:t>
      </w:r>
      <w:proofErr w:type="spellEnd"/>
      <w:r w:rsidR="004435C2" w:rsidRPr="000C29F0">
        <w:rPr>
          <w:rStyle w:val="IdzetChar"/>
        </w:rPr>
        <w:t>, 58</w:t>
      </w:r>
      <w:r w:rsidR="00DB51BE">
        <w:rPr>
          <w:rStyle w:val="IdzetChar"/>
        </w:rPr>
        <w:t>. bekezdés</w:t>
      </w:r>
      <w:r w:rsidR="004435C2" w:rsidRPr="000C29F0">
        <w:rPr>
          <w:rStyle w:val="IdzetChar"/>
        </w:rPr>
        <w:t xml:space="preserve">; D.H. </w:t>
      </w:r>
      <w:proofErr w:type="gramStart"/>
      <w:r w:rsidR="00DB51BE">
        <w:rPr>
          <w:rStyle w:val="IdzetChar"/>
        </w:rPr>
        <w:t>és</w:t>
      </w:r>
      <w:proofErr w:type="gramEnd"/>
      <w:r w:rsidR="00DB51BE">
        <w:rPr>
          <w:rStyle w:val="IdzetChar"/>
        </w:rPr>
        <w:t xml:space="preserve"> társai kontra Cseh Köztársaság</w:t>
      </w:r>
      <w:r w:rsidR="004435C2" w:rsidRPr="000C29F0">
        <w:rPr>
          <w:rStyle w:val="IdzetChar"/>
        </w:rPr>
        <w:t>, 176</w:t>
      </w:r>
      <w:r w:rsidR="00DB51BE">
        <w:rPr>
          <w:rStyle w:val="IdzetChar"/>
        </w:rPr>
        <w:t xml:space="preserve"> bekezdés</w:t>
      </w:r>
      <w:r w:rsidR="004435C2" w:rsidRPr="000C29F0">
        <w:rPr>
          <w:rStyle w:val="IdzetChar"/>
        </w:rPr>
        <w:t>).</w:t>
      </w:r>
      <w:r w:rsidR="00585D2D" w:rsidRPr="000C29F0">
        <w:rPr>
          <w:rStyle w:val="Lbjegyzet-hivatkozs"/>
          <w:rFonts w:ascii="Times New Roman" w:hAnsi="Times New Roman" w:cs="Times New Roman"/>
          <w:iCs w:val="0"/>
          <w:szCs w:val="24"/>
        </w:rPr>
        <w:footnoteReference w:id="33"/>
      </w:r>
    </w:p>
    <w:p w:rsidR="00DB51BE" w:rsidRDefault="00390626" w:rsidP="00C94705">
      <w:pPr>
        <w:ind w:firstLine="720"/>
        <w:jc w:val="both"/>
        <w:rPr>
          <w:rStyle w:val="Finomkiemels"/>
          <w:rFonts w:ascii="Times New Roman" w:hAnsi="Times New Roman" w:cs="Times New Roman"/>
          <w:i w:val="0"/>
          <w:color w:val="auto"/>
          <w:sz w:val="24"/>
          <w:szCs w:val="24"/>
        </w:rPr>
      </w:pPr>
      <w:r>
        <w:rPr>
          <w:rStyle w:val="Finomkiemels"/>
          <w:rFonts w:ascii="Times New Roman" w:hAnsi="Times New Roman" w:cs="Times New Roman"/>
          <w:i w:val="0"/>
          <w:color w:val="auto"/>
          <w:sz w:val="24"/>
          <w:szCs w:val="24"/>
        </w:rPr>
        <w:t xml:space="preserve">E cél </w:t>
      </w:r>
      <w:r w:rsidR="00DB51BE">
        <w:rPr>
          <w:rStyle w:val="Finomkiemels"/>
          <w:rFonts w:ascii="Times New Roman" w:hAnsi="Times New Roman" w:cs="Times New Roman"/>
          <w:i w:val="0"/>
          <w:color w:val="auto"/>
          <w:sz w:val="24"/>
          <w:szCs w:val="24"/>
        </w:rPr>
        <w:t xml:space="preserve">eléréséhez elismerten szükség van arra, hogy az olyan állami szereplők, mint a rendőrség vagy a bíróság mindig éberek legyenek, és gyorsan tudjanak cselekedni, nemcsak a gyűlölet-bűncselekmények kezelése, hanem azok felderítése érdekében is. Bizonyos kötelezettségeket említettünk az előző fejezetben, másokat pedig </w:t>
      </w:r>
      <w:r w:rsidR="004E67BF">
        <w:rPr>
          <w:rStyle w:val="Finomkiemels"/>
          <w:rFonts w:ascii="Times New Roman" w:hAnsi="Times New Roman" w:cs="Times New Roman"/>
          <w:i w:val="0"/>
          <w:color w:val="auto"/>
          <w:sz w:val="24"/>
          <w:szCs w:val="24"/>
        </w:rPr>
        <w:t xml:space="preserve">azoknak az </w:t>
      </w:r>
      <w:r w:rsidR="00DB51BE">
        <w:rPr>
          <w:rStyle w:val="Finomkiemels"/>
          <w:rFonts w:ascii="Times New Roman" w:hAnsi="Times New Roman" w:cs="Times New Roman"/>
          <w:i w:val="0"/>
          <w:color w:val="auto"/>
          <w:sz w:val="24"/>
          <w:szCs w:val="24"/>
        </w:rPr>
        <w:t>ítélkezési gyakorlatból vett példák</w:t>
      </w:r>
      <w:r w:rsidR="004E67BF">
        <w:rPr>
          <w:rStyle w:val="Finomkiemels"/>
          <w:rFonts w:ascii="Times New Roman" w:hAnsi="Times New Roman" w:cs="Times New Roman"/>
          <w:i w:val="0"/>
          <w:color w:val="auto"/>
          <w:sz w:val="24"/>
          <w:szCs w:val="24"/>
        </w:rPr>
        <w:t>nak a</w:t>
      </w:r>
      <w:r w:rsidR="00DB51BE">
        <w:rPr>
          <w:rStyle w:val="Finomkiemels"/>
          <w:rFonts w:ascii="Times New Roman" w:hAnsi="Times New Roman" w:cs="Times New Roman"/>
          <w:i w:val="0"/>
          <w:color w:val="auto"/>
          <w:sz w:val="24"/>
          <w:szCs w:val="24"/>
        </w:rPr>
        <w:t xml:space="preserve"> kapcsán vetünk fel, amelyeket a jelen fejezet végén további olvasnivalóként mellékeltünk. Ezelőtt azonban meg kell említenünk, hogy bármennyire kulcsfontosságú is ez a feladat, semmiképpen sem nevezhető sem könnyűnek, sem egyértelműnek</w:t>
      </w:r>
    </w:p>
    <w:p w:rsidR="004435C2" w:rsidRPr="000C29F0" w:rsidRDefault="00DB51BE" w:rsidP="001406E9">
      <w:pPr>
        <w:ind w:firstLine="360"/>
        <w:jc w:val="both"/>
        <w:rPr>
          <w:rFonts w:ascii="Times New Roman" w:hAnsi="Times New Roman" w:cs="Times New Roman"/>
          <w:iCs/>
          <w:sz w:val="24"/>
          <w:szCs w:val="24"/>
        </w:rPr>
      </w:pPr>
      <w:r>
        <w:rPr>
          <w:rFonts w:ascii="Times New Roman" w:hAnsi="Times New Roman" w:cs="Times New Roman"/>
          <w:iCs/>
          <w:sz w:val="24"/>
          <w:szCs w:val="24"/>
        </w:rPr>
        <w:t xml:space="preserve">2016 </w:t>
      </w:r>
      <w:r w:rsidR="00C6699C">
        <w:rPr>
          <w:rFonts w:ascii="Times New Roman" w:hAnsi="Times New Roman" w:cs="Times New Roman"/>
          <w:iCs/>
          <w:sz w:val="24"/>
          <w:szCs w:val="24"/>
        </w:rPr>
        <w:t>n</w:t>
      </w:r>
      <w:r>
        <w:rPr>
          <w:rFonts w:ascii="Times New Roman" w:hAnsi="Times New Roman" w:cs="Times New Roman"/>
          <w:iCs/>
          <w:sz w:val="24"/>
          <w:szCs w:val="24"/>
        </w:rPr>
        <w:t>ovemberében például az Európai Unió Alapjogi Ügynöksége (FRA) kiadott egy</w:t>
      </w:r>
      <w:r w:rsidR="00F610E7">
        <w:rPr>
          <w:rFonts w:ascii="Times New Roman" w:hAnsi="Times New Roman" w:cs="Times New Roman"/>
          <w:iCs/>
          <w:sz w:val="24"/>
          <w:szCs w:val="24"/>
        </w:rPr>
        <w:t>,</w:t>
      </w:r>
      <w:r>
        <w:rPr>
          <w:rFonts w:ascii="Times New Roman" w:hAnsi="Times New Roman" w:cs="Times New Roman"/>
          <w:iCs/>
          <w:sz w:val="24"/>
          <w:szCs w:val="24"/>
        </w:rPr>
        <w:t xml:space="preserve"> a menedékkérő</w:t>
      </w:r>
      <w:r w:rsidR="00F610E7">
        <w:rPr>
          <w:rFonts w:ascii="Times New Roman" w:hAnsi="Times New Roman" w:cs="Times New Roman"/>
          <w:iCs/>
          <w:sz w:val="24"/>
          <w:szCs w:val="24"/>
        </w:rPr>
        <w:t>k</w:t>
      </w:r>
      <w:r>
        <w:rPr>
          <w:rFonts w:ascii="Times New Roman" w:hAnsi="Times New Roman" w:cs="Times New Roman"/>
          <w:iCs/>
          <w:sz w:val="24"/>
          <w:szCs w:val="24"/>
        </w:rPr>
        <w:t xml:space="preserve"> és migránsok</w:t>
      </w:r>
      <w:r w:rsidR="00F610E7">
        <w:rPr>
          <w:rFonts w:ascii="Times New Roman" w:hAnsi="Times New Roman" w:cs="Times New Roman"/>
          <w:iCs/>
          <w:sz w:val="24"/>
          <w:szCs w:val="24"/>
        </w:rPr>
        <w:t xml:space="preserve"> elleni</w:t>
      </w:r>
      <w:r>
        <w:rPr>
          <w:rFonts w:ascii="Times New Roman" w:hAnsi="Times New Roman" w:cs="Times New Roman"/>
          <w:iCs/>
          <w:sz w:val="24"/>
          <w:szCs w:val="24"/>
        </w:rPr>
        <w:t xml:space="preserve"> erőszak</w:t>
      </w:r>
      <w:r w:rsidR="00F610E7">
        <w:rPr>
          <w:rFonts w:ascii="Times New Roman" w:hAnsi="Times New Roman" w:cs="Times New Roman"/>
          <w:iCs/>
          <w:sz w:val="24"/>
          <w:szCs w:val="24"/>
        </w:rPr>
        <w:t>kal, zaklatással, fenyegetésekkel és idegen</w:t>
      </w:r>
      <w:r w:rsidR="00C6699C">
        <w:rPr>
          <w:rFonts w:ascii="Times New Roman" w:hAnsi="Times New Roman" w:cs="Times New Roman"/>
          <w:iCs/>
          <w:sz w:val="24"/>
          <w:szCs w:val="24"/>
        </w:rPr>
        <w:t>gyűlölő</w:t>
      </w:r>
      <w:r w:rsidR="00F610E7">
        <w:rPr>
          <w:rFonts w:ascii="Times New Roman" w:hAnsi="Times New Roman" w:cs="Times New Roman"/>
          <w:iCs/>
          <w:sz w:val="24"/>
          <w:szCs w:val="24"/>
        </w:rPr>
        <w:t xml:space="preserve"> megnyilvánulásokkal foglalkozó dokumentumot.</w:t>
      </w:r>
      <w:r w:rsidR="004435C2" w:rsidRPr="000C29F0">
        <w:rPr>
          <w:rStyle w:val="Lbjegyzet-hivatkozs"/>
          <w:rFonts w:ascii="Times New Roman" w:hAnsi="Times New Roman" w:cs="Times New Roman"/>
          <w:iCs/>
          <w:sz w:val="24"/>
          <w:szCs w:val="24"/>
        </w:rPr>
        <w:footnoteReference w:id="34"/>
      </w:r>
      <w:r w:rsidR="00686CF6">
        <w:rPr>
          <w:rFonts w:ascii="Times New Roman" w:hAnsi="Times New Roman" w:cs="Times New Roman"/>
          <w:iCs/>
          <w:sz w:val="24"/>
          <w:szCs w:val="24"/>
        </w:rPr>
        <w:t xml:space="preserve"> </w:t>
      </w:r>
      <w:r w:rsidR="00F610E7">
        <w:rPr>
          <w:rFonts w:ascii="Times New Roman" w:hAnsi="Times New Roman" w:cs="Times New Roman"/>
          <w:iCs/>
          <w:sz w:val="24"/>
          <w:szCs w:val="24"/>
        </w:rPr>
        <w:t xml:space="preserve">Az </w:t>
      </w:r>
      <w:r w:rsidR="004E67BF">
        <w:rPr>
          <w:rFonts w:ascii="Times New Roman" w:hAnsi="Times New Roman" w:cs="Times New Roman"/>
          <w:iCs/>
          <w:sz w:val="24"/>
          <w:szCs w:val="24"/>
        </w:rPr>
        <w:t xml:space="preserve">FRA </w:t>
      </w:r>
      <w:r w:rsidR="00F610E7">
        <w:rPr>
          <w:rFonts w:ascii="Times New Roman" w:hAnsi="Times New Roman" w:cs="Times New Roman"/>
          <w:iCs/>
          <w:sz w:val="24"/>
          <w:szCs w:val="24"/>
        </w:rPr>
        <w:t xml:space="preserve">2016. novemberi adatai azt mutatták, hogy ez továbbra is mindenütt jelenlévő, és súlyos probléma az Európai Unióban, függetlenül attól, hogy </w:t>
      </w:r>
      <w:r w:rsidR="00686CF6">
        <w:rPr>
          <w:rFonts w:ascii="Times New Roman" w:hAnsi="Times New Roman" w:cs="Times New Roman"/>
          <w:iCs/>
          <w:sz w:val="24"/>
          <w:szCs w:val="24"/>
        </w:rPr>
        <w:t xml:space="preserve">a </w:t>
      </w:r>
      <w:r w:rsidR="00F610E7">
        <w:rPr>
          <w:rFonts w:ascii="Times New Roman" w:hAnsi="Times New Roman" w:cs="Times New Roman"/>
          <w:iCs/>
          <w:sz w:val="24"/>
          <w:szCs w:val="24"/>
        </w:rPr>
        <w:t>visszaéléseket állami szervez</w:t>
      </w:r>
      <w:r w:rsidR="004E67BF">
        <w:rPr>
          <w:rFonts w:ascii="Times New Roman" w:hAnsi="Times New Roman" w:cs="Times New Roman"/>
          <w:iCs/>
          <w:sz w:val="24"/>
          <w:szCs w:val="24"/>
        </w:rPr>
        <w:t>etek</w:t>
      </w:r>
      <w:r w:rsidR="00F610E7">
        <w:rPr>
          <w:rFonts w:ascii="Times New Roman" w:hAnsi="Times New Roman" w:cs="Times New Roman"/>
          <w:iCs/>
          <w:sz w:val="24"/>
          <w:szCs w:val="24"/>
        </w:rPr>
        <w:t>, magáncégek, egyének vagy önkéntes csoportok hajtják</w:t>
      </w:r>
      <w:r w:rsidR="004E67BF">
        <w:rPr>
          <w:rFonts w:ascii="Times New Roman" w:hAnsi="Times New Roman" w:cs="Times New Roman"/>
          <w:iCs/>
          <w:sz w:val="24"/>
          <w:szCs w:val="24"/>
        </w:rPr>
        <w:t>-e</w:t>
      </w:r>
      <w:r w:rsidR="00F610E7">
        <w:rPr>
          <w:rFonts w:ascii="Times New Roman" w:hAnsi="Times New Roman" w:cs="Times New Roman"/>
          <w:iCs/>
          <w:sz w:val="24"/>
          <w:szCs w:val="24"/>
        </w:rPr>
        <w:t xml:space="preserve"> végre. A jelentés az alábbiakat állapította meg:</w:t>
      </w:r>
    </w:p>
    <w:p w:rsidR="004435C2" w:rsidRPr="000C29F0" w:rsidRDefault="004E67BF" w:rsidP="004435C2">
      <w:pPr>
        <w:numPr>
          <w:ilvl w:val="0"/>
          <w:numId w:val="3"/>
        </w:numPr>
        <w:jc w:val="both"/>
        <w:rPr>
          <w:rFonts w:ascii="Times New Roman" w:hAnsi="Times New Roman" w:cs="Times New Roman"/>
          <w:iCs/>
          <w:szCs w:val="24"/>
        </w:rPr>
      </w:pPr>
      <w:r>
        <w:rPr>
          <w:rFonts w:ascii="Times New Roman" w:hAnsi="Times New Roman" w:cs="Times New Roman"/>
          <w:iCs/>
          <w:szCs w:val="24"/>
        </w:rPr>
        <w:lastRenderedPageBreak/>
        <w:t>M</w:t>
      </w:r>
      <w:r w:rsidR="00C6699C">
        <w:rPr>
          <w:rFonts w:ascii="Times New Roman" w:hAnsi="Times New Roman" w:cs="Times New Roman"/>
          <w:iCs/>
          <w:szCs w:val="24"/>
        </w:rPr>
        <w:t>enekültek, migránsok és etnik</w:t>
      </w:r>
      <w:r w:rsidR="00BC4F9D">
        <w:rPr>
          <w:rFonts w:ascii="Times New Roman" w:hAnsi="Times New Roman" w:cs="Times New Roman"/>
          <w:iCs/>
          <w:szCs w:val="24"/>
        </w:rPr>
        <w:t>a</w:t>
      </w:r>
      <w:r w:rsidR="00C6699C">
        <w:rPr>
          <w:rFonts w:ascii="Times New Roman" w:hAnsi="Times New Roman" w:cs="Times New Roman"/>
          <w:iCs/>
          <w:szCs w:val="24"/>
        </w:rPr>
        <w:t>i kisebbségi háttérrel rendelkező személyek elleni erőszakos cselekményeket – például gyilkosságokat, fenyegetéseket és megfélemlítéseket – számos tagállamban követnek el</w:t>
      </w:r>
      <w:r w:rsidR="004435C2" w:rsidRPr="000C29F0">
        <w:rPr>
          <w:rFonts w:ascii="Times New Roman" w:hAnsi="Times New Roman" w:cs="Times New Roman"/>
          <w:iCs/>
          <w:szCs w:val="24"/>
        </w:rPr>
        <w:t>.</w:t>
      </w:r>
    </w:p>
    <w:p w:rsidR="004435C2" w:rsidRPr="000C29F0" w:rsidRDefault="00C6699C" w:rsidP="004435C2">
      <w:pPr>
        <w:numPr>
          <w:ilvl w:val="0"/>
          <w:numId w:val="3"/>
        </w:numPr>
        <w:jc w:val="both"/>
        <w:rPr>
          <w:rFonts w:ascii="Times New Roman" w:hAnsi="Times New Roman" w:cs="Times New Roman"/>
          <w:iCs/>
          <w:szCs w:val="24"/>
        </w:rPr>
      </w:pPr>
      <w:r>
        <w:rPr>
          <w:rFonts w:ascii="Times New Roman" w:hAnsi="Times New Roman" w:cs="Times New Roman"/>
          <w:iCs/>
          <w:szCs w:val="24"/>
        </w:rPr>
        <w:t>A bizonyítékok azt mutatják, hogy rasszista és idegenellenes erőszakot sokféle elkövető követ el, például az átlagnépességből származó személyek vagy önkéntes csoportok tagjai is.</w:t>
      </w:r>
    </w:p>
    <w:p w:rsidR="004435C2" w:rsidRPr="000C29F0" w:rsidRDefault="00C6699C" w:rsidP="004435C2">
      <w:pPr>
        <w:numPr>
          <w:ilvl w:val="0"/>
          <w:numId w:val="3"/>
        </w:numPr>
        <w:jc w:val="both"/>
        <w:rPr>
          <w:rFonts w:ascii="Times New Roman" w:hAnsi="Times New Roman" w:cs="Times New Roman"/>
          <w:iCs/>
          <w:szCs w:val="24"/>
        </w:rPr>
      </w:pPr>
      <w:r>
        <w:rPr>
          <w:rFonts w:ascii="Times New Roman" w:hAnsi="Times New Roman" w:cs="Times New Roman"/>
          <w:iCs/>
          <w:szCs w:val="24"/>
        </w:rPr>
        <w:t>Az állami hatóságok me</w:t>
      </w:r>
      <w:r w:rsidR="005234AA">
        <w:rPr>
          <w:rFonts w:ascii="Times New Roman" w:hAnsi="Times New Roman" w:cs="Times New Roman"/>
          <w:iCs/>
          <w:szCs w:val="24"/>
        </w:rPr>
        <w:t>ne</w:t>
      </w:r>
      <w:r>
        <w:rPr>
          <w:rFonts w:ascii="Times New Roman" w:hAnsi="Times New Roman" w:cs="Times New Roman"/>
          <w:iCs/>
          <w:szCs w:val="24"/>
        </w:rPr>
        <w:t xml:space="preserve">kültek és migránsok elleni gyűlölet-bűncselekményekre adott válaszát a civil társadalom sok tagállamban gyengének érzékeli. </w:t>
      </w:r>
      <w:r w:rsidR="004E67BF">
        <w:rPr>
          <w:rFonts w:ascii="Times New Roman" w:hAnsi="Times New Roman" w:cs="Times New Roman"/>
          <w:iCs/>
          <w:szCs w:val="24"/>
        </w:rPr>
        <w:t>B</w:t>
      </w:r>
      <w:r>
        <w:rPr>
          <w:rFonts w:ascii="Times New Roman" w:hAnsi="Times New Roman" w:cs="Times New Roman"/>
          <w:iCs/>
          <w:szCs w:val="24"/>
        </w:rPr>
        <w:t>izonyos esetekben a politikai szereplők még üdvözölték is az önkéntes csoportok tevékenységét</w:t>
      </w:r>
      <w:r w:rsidR="004435C2" w:rsidRPr="000C29F0">
        <w:rPr>
          <w:rFonts w:ascii="Times New Roman" w:hAnsi="Times New Roman" w:cs="Times New Roman"/>
          <w:iCs/>
          <w:szCs w:val="24"/>
        </w:rPr>
        <w:t>.</w:t>
      </w:r>
    </w:p>
    <w:p w:rsidR="004435C2" w:rsidRPr="000C29F0" w:rsidRDefault="00C6699C" w:rsidP="004435C2">
      <w:pPr>
        <w:numPr>
          <w:ilvl w:val="0"/>
          <w:numId w:val="3"/>
        </w:numPr>
        <w:jc w:val="both"/>
        <w:rPr>
          <w:rFonts w:ascii="Times New Roman" w:hAnsi="Times New Roman" w:cs="Times New Roman"/>
          <w:iCs/>
          <w:szCs w:val="24"/>
        </w:rPr>
      </w:pPr>
      <w:r>
        <w:rPr>
          <w:rFonts w:ascii="Times New Roman" w:hAnsi="Times New Roman" w:cs="Times New Roman"/>
          <w:iCs/>
          <w:szCs w:val="24"/>
        </w:rPr>
        <w:t>A legtöbb tagállam nem gyűjt vagy ad ki a me</w:t>
      </w:r>
      <w:r w:rsidR="005234AA">
        <w:rPr>
          <w:rFonts w:ascii="Times New Roman" w:hAnsi="Times New Roman" w:cs="Times New Roman"/>
          <w:iCs/>
          <w:szCs w:val="24"/>
        </w:rPr>
        <w:t>ne</w:t>
      </w:r>
      <w:r>
        <w:rPr>
          <w:rFonts w:ascii="Times New Roman" w:hAnsi="Times New Roman" w:cs="Times New Roman"/>
          <w:iCs/>
          <w:szCs w:val="24"/>
        </w:rPr>
        <w:t xml:space="preserve">kültek és migránsok elleni </w:t>
      </w:r>
      <w:r w:rsidR="00703C20">
        <w:rPr>
          <w:rFonts w:ascii="Times New Roman" w:hAnsi="Times New Roman" w:cs="Times New Roman"/>
          <w:iCs/>
          <w:szCs w:val="24"/>
        </w:rPr>
        <w:t xml:space="preserve">incidensekkel és </w:t>
      </w:r>
      <w:r>
        <w:rPr>
          <w:rFonts w:ascii="Times New Roman" w:hAnsi="Times New Roman" w:cs="Times New Roman"/>
          <w:iCs/>
          <w:szCs w:val="24"/>
        </w:rPr>
        <w:t>gyűlölet-bűncselekményekkel kapcsolatos statisztikai adatokat</w:t>
      </w:r>
      <w:r w:rsidR="004435C2" w:rsidRPr="000C29F0">
        <w:rPr>
          <w:rFonts w:ascii="Times New Roman" w:hAnsi="Times New Roman" w:cs="Times New Roman"/>
          <w:iCs/>
          <w:szCs w:val="24"/>
        </w:rPr>
        <w:t>.</w:t>
      </w:r>
    </w:p>
    <w:p w:rsidR="004435C2" w:rsidRPr="000C29F0" w:rsidRDefault="00703C20" w:rsidP="004435C2">
      <w:pPr>
        <w:numPr>
          <w:ilvl w:val="0"/>
          <w:numId w:val="3"/>
        </w:numPr>
        <w:jc w:val="both"/>
        <w:rPr>
          <w:rFonts w:ascii="Times New Roman" w:hAnsi="Times New Roman" w:cs="Times New Roman"/>
          <w:iCs/>
          <w:szCs w:val="24"/>
        </w:rPr>
      </w:pPr>
      <w:r>
        <w:rPr>
          <w:rFonts w:ascii="Times New Roman" w:hAnsi="Times New Roman" w:cs="Times New Roman"/>
          <w:iCs/>
          <w:szCs w:val="24"/>
        </w:rPr>
        <w:t xml:space="preserve">Ahol vannak ilyen adatok – </w:t>
      </w:r>
      <w:r w:rsidR="004E67BF">
        <w:rPr>
          <w:rFonts w:ascii="Times New Roman" w:hAnsi="Times New Roman" w:cs="Times New Roman"/>
          <w:iCs/>
          <w:szCs w:val="24"/>
        </w:rPr>
        <w:t xml:space="preserve">mert </w:t>
      </w:r>
      <w:r>
        <w:rPr>
          <w:rFonts w:ascii="Times New Roman" w:hAnsi="Times New Roman" w:cs="Times New Roman"/>
          <w:iCs/>
          <w:szCs w:val="24"/>
        </w:rPr>
        <w:t>például civil szervezetek gyűjtik őket – ott az adatok arra utalnak, hogy az ilyen incidensek elterjedtek és súlyosak</w:t>
      </w:r>
      <w:r w:rsidR="004435C2" w:rsidRPr="000C29F0">
        <w:rPr>
          <w:rFonts w:ascii="Times New Roman" w:hAnsi="Times New Roman" w:cs="Times New Roman"/>
          <w:iCs/>
          <w:szCs w:val="24"/>
        </w:rPr>
        <w:t>.</w:t>
      </w:r>
    </w:p>
    <w:p w:rsidR="004435C2" w:rsidRPr="000C29F0" w:rsidRDefault="00703C20" w:rsidP="004435C2">
      <w:pPr>
        <w:numPr>
          <w:ilvl w:val="0"/>
          <w:numId w:val="3"/>
        </w:numPr>
        <w:jc w:val="both"/>
        <w:rPr>
          <w:rFonts w:ascii="Times New Roman" w:hAnsi="Times New Roman" w:cs="Times New Roman"/>
          <w:iCs/>
          <w:szCs w:val="24"/>
        </w:rPr>
      </w:pPr>
      <w:r>
        <w:rPr>
          <w:rFonts w:ascii="Times New Roman" w:hAnsi="Times New Roman" w:cs="Times New Roman"/>
          <w:iCs/>
          <w:szCs w:val="24"/>
        </w:rPr>
        <w:t xml:space="preserve">A menekülteken és migránsokon kívül más csoportok – például a muszlimok, különösen a nők, és az etnikai háttérrel rendelkező személyek – is a célkeresztbe kerültek, </w:t>
      </w:r>
      <w:proofErr w:type="gramStart"/>
      <w:r>
        <w:rPr>
          <w:rFonts w:ascii="Times New Roman" w:hAnsi="Times New Roman" w:cs="Times New Roman"/>
          <w:iCs/>
          <w:szCs w:val="24"/>
        </w:rPr>
        <w:t>csakúgy</w:t>
      </w:r>
      <w:proofErr w:type="gramEnd"/>
      <w:r>
        <w:rPr>
          <w:rFonts w:ascii="Times New Roman" w:hAnsi="Times New Roman" w:cs="Times New Roman"/>
          <w:iCs/>
          <w:szCs w:val="24"/>
        </w:rPr>
        <w:t xml:space="preserve"> mint az emberi jogok szószólói, a „menekültpárti” politikusok és a problémáról beszámoló újságírók.</w:t>
      </w:r>
    </w:p>
    <w:p w:rsidR="004435C2" w:rsidRPr="000C29F0" w:rsidRDefault="004435C2" w:rsidP="004435C2">
      <w:pPr>
        <w:numPr>
          <w:ilvl w:val="0"/>
          <w:numId w:val="3"/>
        </w:numPr>
        <w:jc w:val="both"/>
        <w:rPr>
          <w:rFonts w:ascii="Times New Roman" w:hAnsi="Times New Roman" w:cs="Times New Roman"/>
          <w:iCs/>
          <w:szCs w:val="24"/>
        </w:rPr>
      </w:pPr>
      <w:r w:rsidRPr="000C29F0">
        <w:rPr>
          <w:rFonts w:ascii="Times New Roman" w:hAnsi="Times New Roman" w:cs="Times New Roman"/>
          <w:iCs/>
          <w:szCs w:val="24"/>
        </w:rPr>
        <w:t xml:space="preserve">A </w:t>
      </w:r>
      <w:r w:rsidR="00703C20">
        <w:rPr>
          <w:rFonts w:ascii="Times New Roman" w:hAnsi="Times New Roman" w:cs="Times New Roman"/>
          <w:iCs/>
          <w:szCs w:val="24"/>
        </w:rPr>
        <w:t>me</w:t>
      </w:r>
      <w:r w:rsidR="005234AA">
        <w:rPr>
          <w:rFonts w:ascii="Times New Roman" w:hAnsi="Times New Roman" w:cs="Times New Roman"/>
          <w:iCs/>
          <w:szCs w:val="24"/>
        </w:rPr>
        <w:t>ne</w:t>
      </w:r>
      <w:r w:rsidR="00703C20">
        <w:rPr>
          <w:rFonts w:ascii="Times New Roman" w:hAnsi="Times New Roman" w:cs="Times New Roman"/>
          <w:iCs/>
          <w:szCs w:val="24"/>
        </w:rPr>
        <w:t>kültek és migránsok elleni gyűlölet-bűncselekmények hatóságoknak vagy egyéb szervekne</w:t>
      </w:r>
      <w:r w:rsidR="005234AA">
        <w:rPr>
          <w:rFonts w:ascii="Times New Roman" w:hAnsi="Times New Roman" w:cs="Times New Roman"/>
          <w:iCs/>
          <w:szCs w:val="24"/>
        </w:rPr>
        <w:t>k</w:t>
      </w:r>
      <w:r w:rsidR="00703C20">
        <w:rPr>
          <w:rFonts w:ascii="Times New Roman" w:hAnsi="Times New Roman" w:cs="Times New Roman"/>
          <w:iCs/>
          <w:szCs w:val="24"/>
        </w:rPr>
        <w:t xml:space="preserve"> tör</w:t>
      </w:r>
      <w:r w:rsidR="005234AA">
        <w:rPr>
          <w:rFonts w:ascii="Times New Roman" w:hAnsi="Times New Roman" w:cs="Times New Roman"/>
          <w:iCs/>
          <w:szCs w:val="24"/>
        </w:rPr>
        <w:t>t</w:t>
      </w:r>
      <w:r w:rsidR="00703C20">
        <w:rPr>
          <w:rFonts w:ascii="Times New Roman" w:hAnsi="Times New Roman" w:cs="Times New Roman"/>
          <w:iCs/>
          <w:szCs w:val="24"/>
        </w:rPr>
        <w:t>énő jelentését számos tényező akadályozza. A feljelentések alacsony száma láthata</w:t>
      </w:r>
      <w:r w:rsidR="005234AA">
        <w:rPr>
          <w:rFonts w:ascii="Times New Roman" w:hAnsi="Times New Roman" w:cs="Times New Roman"/>
          <w:iCs/>
          <w:szCs w:val="24"/>
        </w:rPr>
        <w:t>t</w:t>
      </w:r>
      <w:r w:rsidR="00703C20">
        <w:rPr>
          <w:rFonts w:ascii="Times New Roman" w:hAnsi="Times New Roman" w:cs="Times New Roman"/>
          <w:iCs/>
          <w:szCs w:val="24"/>
        </w:rPr>
        <w:t>lanná teszi a problémát.</w:t>
      </w:r>
    </w:p>
    <w:p w:rsidR="004435C2" w:rsidRPr="000C29F0" w:rsidRDefault="00703C20" w:rsidP="004435C2">
      <w:pPr>
        <w:numPr>
          <w:ilvl w:val="0"/>
          <w:numId w:val="3"/>
        </w:numPr>
        <w:jc w:val="both"/>
        <w:rPr>
          <w:rFonts w:ascii="Times New Roman" w:hAnsi="Times New Roman" w:cs="Times New Roman"/>
          <w:iCs/>
          <w:szCs w:val="24"/>
        </w:rPr>
      </w:pPr>
      <w:r>
        <w:rPr>
          <w:rFonts w:ascii="Times New Roman" w:hAnsi="Times New Roman" w:cs="Times New Roman"/>
          <w:iCs/>
          <w:szCs w:val="24"/>
        </w:rPr>
        <w:t>Bizonyíték van arra, hogy az interneten egyre több a me</w:t>
      </w:r>
      <w:r w:rsidR="005234AA">
        <w:rPr>
          <w:rFonts w:ascii="Times New Roman" w:hAnsi="Times New Roman" w:cs="Times New Roman"/>
          <w:iCs/>
          <w:szCs w:val="24"/>
        </w:rPr>
        <w:t>ne</w:t>
      </w:r>
      <w:r>
        <w:rPr>
          <w:rFonts w:ascii="Times New Roman" w:hAnsi="Times New Roman" w:cs="Times New Roman"/>
          <w:iCs/>
          <w:szCs w:val="24"/>
        </w:rPr>
        <w:t>kültek és migránsok elleni gyűlöletbeszéd, miközben ennek vi</w:t>
      </w:r>
      <w:r w:rsidR="005234AA">
        <w:rPr>
          <w:rFonts w:ascii="Times New Roman" w:hAnsi="Times New Roman" w:cs="Times New Roman"/>
          <w:iCs/>
          <w:szCs w:val="24"/>
        </w:rPr>
        <w:t>zs</w:t>
      </w:r>
      <w:r>
        <w:rPr>
          <w:rFonts w:ascii="Times New Roman" w:hAnsi="Times New Roman" w:cs="Times New Roman"/>
          <w:iCs/>
          <w:szCs w:val="24"/>
        </w:rPr>
        <w:t>gálata továbbra is nehéz</w:t>
      </w:r>
      <w:r w:rsidR="004435C2" w:rsidRPr="000C29F0">
        <w:rPr>
          <w:rFonts w:ascii="Times New Roman" w:hAnsi="Times New Roman" w:cs="Times New Roman"/>
          <w:iCs/>
          <w:szCs w:val="24"/>
        </w:rPr>
        <w:t>.</w:t>
      </w:r>
    </w:p>
    <w:p w:rsidR="004435C2" w:rsidRPr="000C29F0" w:rsidRDefault="00703C20" w:rsidP="004435C2">
      <w:pPr>
        <w:numPr>
          <w:ilvl w:val="0"/>
          <w:numId w:val="3"/>
        </w:numPr>
        <w:jc w:val="both"/>
        <w:rPr>
          <w:rFonts w:ascii="Times New Roman" w:hAnsi="Times New Roman" w:cs="Times New Roman"/>
          <w:iCs/>
          <w:szCs w:val="24"/>
        </w:rPr>
      </w:pPr>
      <w:r>
        <w:rPr>
          <w:rFonts w:ascii="Times New Roman" w:hAnsi="Times New Roman" w:cs="Times New Roman"/>
          <w:iCs/>
          <w:szCs w:val="24"/>
        </w:rPr>
        <w:t>A tagállamokban csak korlátozo</w:t>
      </w:r>
      <w:r w:rsidR="005234AA">
        <w:rPr>
          <w:rFonts w:ascii="Times New Roman" w:hAnsi="Times New Roman" w:cs="Times New Roman"/>
          <w:iCs/>
          <w:szCs w:val="24"/>
        </w:rPr>
        <w:t>t</w:t>
      </w:r>
      <w:r>
        <w:rPr>
          <w:rFonts w:ascii="Times New Roman" w:hAnsi="Times New Roman" w:cs="Times New Roman"/>
          <w:iCs/>
          <w:szCs w:val="24"/>
        </w:rPr>
        <w:t>tan állnak rendelkezésre a me</w:t>
      </w:r>
      <w:r w:rsidR="005234AA">
        <w:rPr>
          <w:rFonts w:ascii="Times New Roman" w:hAnsi="Times New Roman" w:cs="Times New Roman"/>
          <w:iCs/>
          <w:szCs w:val="24"/>
        </w:rPr>
        <w:t>ne</w:t>
      </w:r>
      <w:r>
        <w:rPr>
          <w:rFonts w:ascii="Times New Roman" w:hAnsi="Times New Roman" w:cs="Times New Roman"/>
          <w:iCs/>
          <w:szCs w:val="24"/>
        </w:rPr>
        <w:t>kültek és migránsok szükségleteire szabott</w:t>
      </w:r>
      <w:r w:rsidR="004E67BF">
        <w:rPr>
          <w:rFonts w:ascii="Times New Roman" w:hAnsi="Times New Roman" w:cs="Times New Roman"/>
          <w:iCs/>
          <w:szCs w:val="24"/>
        </w:rPr>
        <w:t>,</w:t>
      </w:r>
      <w:r>
        <w:rPr>
          <w:rFonts w:ascii="Times New Roman" w:hAnsi="Times New Roman" w:cs="Times New Roman"/>
          <w:iCs/>
          <w:szCs w:val="24"/>
        </w:rPr>
        <w:t xml:space="preserve"> áldozatokat támogató szolgáltatások. A szakemberek úgy észlelik, ahogy a me</w:t>
      </w:r>
      <w:r w:rsidR="005234AA">
        <w:rPr>
          <w:rFonts w:ascii="Times New Roman" w:hAnsi="Times New Roman" w:cs="Times New Roman"/>
          <w:iCs/>
          <w:szCs w:val="24"/>
        </w:rPr>
        <w:t>ne</w:t>
      </w:r>
      <w:r>
        <w:rPr>
          <w:rFonts w:ascii="Times New Roman" w:hAnsi="Times New Roman" w:cs="Times New Roman"/>
          <w:iCs/>
          <w:szCs w:val="24"/>
        </w:rPr>
        <w:t xml:space="preserve">kültek és migránsok </w:t>
      </w:r>
      <w:r w:rsidR="00440C6A">
        <w:rPr>
          <w:rFonts w:ascii="Times New Roman" w:hAnsi="Times New Roman" w:cs="Times New Roman"/>
          <w:iCs/>
          <w:szCs w:val="24"/>
        </w:rPr>
        <w:t xml:space="preserve">csak korlátozottan férnek </w:t>
      </w:r>
      <w:r w:rsidR="004E67BF">
        <w:rPr>
          <w:rFonts w:ascii="Times New Roman" w:hAnsi="Times New Roman" w:cs="Times New Roman"/>
          <w:iCs/>
          <w:szCs w:val="24"/>
        </w:rPr>
        <w:t xml:space="preserve">hozzá </w:t>
      </w:r>
      <w:r w:rsidR="00440C6A">
        <w:rPr>
          <w:rFonts w:ascii="Times New Roman" w:hAnsi="Times New Roman" w:cs="Times New Roman"/>
          <w:iCs/>
          <w:szCs w:val="24"/>
        </w:rPr>
        <w:t>ezekhez a szolgáltatásokhoz</w:t>
      </w:r>
      <w:r w:rsidR="004435C2" w:rsidRPr="000C29F0">
        <w:rPr>
          <w:rFonts w:ascii="Times New Roman" w:hAnsi="Times New Roman" w:cs="Times New Roman"/>
          <w:iCs/>
          <w:szCs w:val="24"/>
        </w:rPr>
        <w:t>.</w:t>
      </w:r>
    </w:p>
    <w:p w:rsidR="004435C2" w:rsidRPr="000C29F0" w:rsidRDefault="004435C2" w:rsidP="004435C2">
      <w:pPr>
        <w:jc w:val="both"/>
        <w:rPr>
          <w:rStyle w:val="Finomkiemels"/>
          <w:rFonts w:ascii="Times New Roman" w:hAnsi="Times New Roman" w:cs="Times New Roman"/>
          <w:i w:val="0"/>
          <w:szCs w:val="24"/>
        </w:rPr>
      </w:pPr>
    </w:p>
    <w:p w:rsidR="00440C6A" w:rsidRDefault="00440C6A" w:rsidP="00440C6A">
      <w:pPr>
        <w:ind w:firstLine="360"/>
        <w:jc w:val="both"/>
        <w:rPr>
          <w:rStyle w:val="Finomkiemels"/>
          <w:rFonts w:ascii="Times New Roman" w:hAnsi="Times New Roman" w:cs="Times New Roman"/>
          <w:i w:val="0"/>
          <w:color w:val="auto"/>
          <w:sz w:val="24"/>
          <w:szCs w:val="24"/>
        </w:rPr>
      </w:pPr>
      <w:r>
        <w:rPr>
          <w:rStyle w:val="Finomkiemels"/>
          <w:rFonts w:ascii="Times New Roman" w:hAnsi="Times New Roman" w:cs="Times New Roman"/>
          <w:i w:val="0"/>
          <w:color w:val="auto"/>
          <w:sz w:val="24"/>
          <w:szCs w:val="24"/>
        </w:rPr>
        <w:t>Végezetül nem csak a gyűlölet-bűncs</w:t>
      </w:r>
      <w:r w:rsidR="005234AA">
        <w:rPr>
          <w:rStyle w:val="Finomkiemels"/>
          <w:rFonts w:ascii="Times New Roman" w:hAnsi="Times New Roman" w:cs="Times New Roman"/>
          <w:i w:val="0"/>
          <w:color w:val="auto"/>
          <w:sz w:val="24"/>
          <w:szCs w:val="24"/>
        </w:rPr>
        <w:t>e</w:t>
      </w:r>
      <w:r>
        <w:rPr>
          <w:rStyle w:val="Finomkiemels"/>
          <w:rFonts w:ascii="Times New Roman" w:hAnsi="Times New Roman" w:cs="Times New Roman"/>
          <w:i w:val="0"/>
          <w:color w:val="auto"/>
          <w:sz w:val="24"/>
          <w:szCs w:val="24"/>
        </w:rPr>
        <w:t xml:space="preserve">lekmények száma növekszik, hanem egyelőre továbbra is hiányoznak kezelésükre szolgáló mechanizmusok is. De nem csak ez a probléma, hanem </w:t>
      </w:r>
      <w:r w:rsidR="004E67BF">
        <w:rPr>
          <w:rStyle w:val="Finomkiemels"/>
          <w:rFonts w:ascii="Times New Roman" w:hAnsi="Times New Roman" w:cs="Times New Roman"/>
          <w:i w:val="0"/>
          <w:color w:val="auto"/>
          <w:sz w:val="24"/>
          <w:szCs w:val="24"/>
        </w:rPr>
        <w:t xml:space="preserve">– </w:t>
      </w:r>
      <w:r>
        <w:rPr>
          <w:rStyle w:val="Finomkiemels"/>
          <w:rFonts w:ascii="Times New Roman" w:hAnsi="Times New Roman" w:cs="Times New Roman"/>
          <w:i w:val="0"/>
          <w:color w:val="auto"/>
          <w:sz w:val="24"/>
          <w:szCs w:val="24"/>
        </w:rPr>
        <w:t>mint egyfajta természeti állapotban, ahol az egyetlen törvény a legerősebb túlélése az egyetlen szabály</w:t>
      </w:r>
      <w:r w:rsidR="004E67BF">
        <w:rPr>
          <w:rStyle w:val="Finomkiemels"/>
          <w:rFonts w:ascii="Times New Roman" w:hAnsi="Times New Roman" w:cs="Times New Roman"/>
          <w:i w:val="0"/>
          <w:color w:val="auto"/>
          <w:sz w:val="24"/>
          <w:szCs w:val="24"/>
        </w:rPr>
        <w:t xml:space="preserve"> –</w:t>
      </w:r>
      <w:r>
        <w:rPr>
          <w:rStyle w:val="Finomkiemels"/>
          <w:rFonts w:ascii="Times New Roman" w:hAnsi="Times New Roman" w:cs="Times New Roman"/>
          <w:i w:val="0"/>
          <w:color w:val="auto"/>
          <w:sz w:val="24"/>
          <w:szCs w:val="24"/>
        </w:rPr>
        <w:t xml:space="preserve"> úgy tűnik, hogy az önkéntes és önbíráskodó csoportok, amelyek egyoldalúan és erőszakkal ráerőltetik saját meggyőződésüket a társadalomra, egyre nagyobb l</w:t>
      </w:r>
      <w:r w:rsidR="005234AA">
        <w:rPr>
          <w:rStyle w:val="Finomkiemels"/>
          <w:rFonts w:ascii="Times New Roman" w:hAnsi="Times New Roman" w:cs="Times New Roman"/>
          <w:i w:val="0"/>
          <w:color w:val="auto"/>
          <w:sz w:val="24"/>
          <w:szCs w:val="24"/>
        </w:rPr>
        <w:t>e</w:t>
      </w:r>
      <w:r>
        <w:rPr>
          <w:rStyle w:val="Finomkiemels"/>
          <w:rFonts w:ascii="Times New Roman" w:hAnsi="Times New Roman" w:cs="Times New Roman"/>
          <w:i w:val="0"/>
          <w:color w:val="auto"/>
          <w:sz w:val="24"/>
          <w:szCs w:val="24"/>
        </w:rPr>
        <w:t>gitimációt élveznek. Ez természetesen sokat elárul a helyzet kezelésének szükségességéről. De hogyan lehet kezelni a helyzetet?</w:t>
      </w:r>
    </w:p>
    <w:p w:rsidR="004435C2" w:rsidRPr="000C29F0" w:rsidRDefault="0001558C" w:rsidP="004A0200">
      <w:pPr>
        <w:ind w:firstLine="360"/>
        <w:jc w:val="both"/>
        <w:rPr>
          <w:rStyle w:val="Finomkiemels"/>
          <w:rFonts w:ascii="Times New Roman" w:hAnsi="Times New Roman" w:cs="Times New Roman"/>
          <w:i w:val="0"/>
          <w:color w:val="auto"/>
          <w:sz w:val="24"/>
          <w:szCs w:val="24"/>
        </w:rPr>
      </w:pPr>
      <w:r>
        <w:rPr>
          <w:rStyle w:val="Finomkiemels"/>
          <w:rFonts w:ascii="Times New Roman" w:hAnsi="Times New Roman" w:cs="Times New Roman"/>
          <w:i w:val="0"/>
          <w:color w:val="auto"/>
          <w:sz w:val="24"/>
          <w:szCs w:val="24"/>
        </w:rPr>
        <w:t>Ahogyan azt korábban is említettük, a legfontosabb kérdés a gyűlölet-bűncselekmények követés</w:t>
      </w:r>
      <w:r w:rsidR="009449C4">
        <w:rPr>
          <w:rStyle w:val="Finomkiemels"/>
          <w:rFonts w:ascii="Times New Roman" w:hAnsi="Times New Roman" w:cs="Times New Roman"/>
          <w:i w:val="0"/>
          <w:color w:val="auto"/>
          <w:sz w:val="24"/>
          <w:szCs w:val="24"/>
        </w:rPr>
        <w:t>ére</w:t>
      </w:r>
      <w:r>
        <w:rPr>
          <w:rStyle w:val="Finomkiemels"/>
          <w:rFonts w:ascii="Times New Roman" w:hAnsi="Times New Roman" w:cs="Times New Roman"/>
          <w:i w:val="0"/>
          <w:color w:val="auto"/>
          <w:sz w:val="24"/>
          <w:szCs w:val="24"/>
        </w:rPr>
        <w:t xml:space="preserve"> és jelentés</w:t>
      </w:r>
      <w:r w:rsidR="009449C4">
        <w:rPr>
          <w:rStyle w:val="Finomkiemels"/>
          <w:rFonts w:ascii="Times New Roman" w:hAnsi="Times New Roman" w:cs="Times New Roman"/>
          <w:i w:val="0"/>
          <w:color w:val="auto"/>
          <w:sz w:val="24"/>
          <w:szCs w:val="24"/>
        </w:rPr>
        <w:t xml:space="preserve">ére rendelkezésre álló kapacitások növelése </w:t>
      </w:r>
      <w:r w:rsidR="009449C4">
        <w:rPr>
          <w:rStyle w:val="Finomkiemels"/>
          <w:rFonts w:ascii="Times New Roman" w:hAnsi="Times New Roman" w:cs="Times New Roman"/>
          <w:i w:val="0"/>
          <w:color w:val="auto"/>
          <w:sz w:val="24"/>
          <w:szCs w:val="24"/>
        </w:rPr>
        <w:lastRenderedPageBreak/>
        <w:t>volna. Hiszen a probléma teljes és pontos ismerete nélkül aligha lehetséges azt valóban kezelni.</w:t>
      </w:r>
      <w:r w:rsidR="004435C2" w:rsidRPr="000C29F0">
        <w:rPr>
          <w:rStyle w:val="Lbjegyzet-hivatkozs"/>
          <w:rFonts w:ascii="Times New Roman" w:hAnsi="Times New Roman" w:cs="Times New Roman"/>
          <w:i/>
          <w:iCs/>
          <w:sz w:val="24"/>
          <w:szCs w:val="24"/>
        </w:rPr>
        <w:footnoteReference w:id="35"/>
      </w:r>
    </w:p>
    <w:p w:rsidR="004435C2" w:rsidRPr="000C29F0" w:rsidRDefault="009449C4" w:rsidP="004A0200">
      <w:pPr>
        <w:pStyle w:val="Idzet"/>
        <w:jc w:val="both"/>
      </w:pPr>
      <w:r>
        <w:rPr>
          <w:rStyle w:val="Ershangslyozs"/>
          <w:b w:val="0"/>
          <w:bCs w:val="0"/>
          <w:i/>
          <w:iCs/>
          <w:color w:val="404040" w:themeColor="text1" w:themeTint="BF"/>
        </w:rPr>
        <w:t>A gyűlölet-bűncselekmények és a hozzájuk kapcsolódó alapjogi sérelmek kezelése érdekében az Európai Uniónak és tagállamainak ezeket a bűncselekményeket láthatóbbá kell tenniük és az elkövetőket felelősségre kell vonniuk.</w:t>
      </w:r>
      <w:r w:rsidR="004435C2" w:rsidRPr="009449C4">
        <w:rPr>
          <w:rStyle w:val="Lbjegyzet-hivatkozs"/>
        </w:rPr>
        <w:footnoteReference w:id="36"/>
      </w:r>
    </w:p>
    <w:p w:rsidR="004435C2" w:rsidRPr="000C29F0" w:rsidRDefault="009449C4" w:rsidP="001406E9">
      <w:pPr>
        <w:ind w:firstLine="720"/>
        <w:jc w:val="both"/>
        <w:rPr>
          <w:rStyle w:val="Finomkiemels"/>
          <w:rFonts w:ascii="Times New Roman" w:hAnsi="Times New Roman" w:cs="Times New Roman"/>
          <w:i w:val="0"/>
          <w:color w:val="auto"/>
          <w:sz w:val="24"/>
          <w:szCs w:val="24"/>
        </w:rPr>
      </w:pPr>
      <w:r>
        <w:rPr>
          <w:rStyle w:val="Finomkiemels"/>
          <w:rFonts w:ascii="Times New Roman" w:hAnsi="Times New Roman" w:cs="Times New Roman"/>
          <w:i w:val="0"/>
          <w:color w:val="auto"/>
          <w:sz w:val="24"/>
          <w:szCs w:val="24"/>
        </w:rPr>
        <w:t xml:space="preserve">Ezzel együtt az a kérdés, hogy ezt a tudást hogyan – és milyen cél érdekében – használjuk ugyanilyen fontos, ha nem még fontosabb kérdés. A gyűlölet-bűncselekményekkel kapcsolatos ismeretek megszerzése csak az egyik fele az egyenletnek, a demokratikus normák és értékek megerősítése azzal, hogy világossá tesszük, hogy az ilyen típusú bűncselekmények semmilyen körülmények között sem elfogadhatók, pedig a másik. És e két tevékenység találkozásánál válik a bíróság szerepe szükségszerűen létfontosságúvá, hiszen </w:t>
      </w:r>
      <w:r w:rsidR="00686CF6">
        <w:rPr>
          <w:rStyle w:val="Finomkiemels"/>
          <w:rFonts w:ascii="Times New Roman" w:hAnsi="Times New Roman" w:cs="Times New Roman"/>
          <w:i w:val="0"/>
          <w:color w:val="auto"/>
          <w:sz w:val="24"/>
          <w:szCs w:val="24"/>
        </w:rPr>
        <w:t xml:space="preserve">kiváltképp </w:t>
      </w:r>
      <w:r>
        <w:rPr>
          <w:rStyle w:val="Finomkiemels"/>
          <w:rFonts w:ascii="Times New Roman" w:hAnsi="Times New Roman" w:cs="Times New Roman"/>
          <w:i w:val="0"/>
          <w:color w:val="auto"/>
          <w:sz w:val="24"/>
          <w:szCs w:val="24"/>
        </w:rPr>
        <w:t xml:space="preserve">ez az a hatóság, amely képes mindkettőt valóban kezelni.  </w:t>
      </w:r>
    </w:p>
    <w:p w:rsidR="001406E9" w:rsidRPr="000C29F0" w:rsidRDefault="001406E9" w:rsidP="004435C2">
      <w:pPr>
        <w:jc w:val="both"/>
        <w:rPr>
          <w:rStyle w:val="Finomkiemels"/>
          <w:rFonts w:ascii="Times New Roman" w:hAnsi="Times New Roman" w:cs="Times New Roman"/>
          <w:i w:val="0"/>
          <w:szCs w:val="24"/>
        </w:rPr>
      </w:pPr>
    </w:p>
    <w:tbl>
      <w:tblPr>
        <w:tblStyle w:val="MediumGrid1-Accent51"/>
        <w:tblW w:w="0" w:type="auto"/>
        <w:tblLook w:val="04A0" w:firstRow="1" w:lastRow="0" w:firstColumn="1" w:lastColumn="0" w:noHBand="0" w:noVBand="1"/>
      </w:tblPr>
      <w:tblGrid>
        <w:gridCol w:w="8440"/>
      </w:tblGrid>
      <w:tr w:rsidR="001406E9" w:rsidRPr="000C29F0" w:rsidTr="00DD5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0" w:type="dxa"/>
          </w:tcPr>
          <w:p w:rsidR="001406E9" w:rsidRPr="000C29F0" w:rsidRDefault="009449C4" w:rsidP="00DD5F20">
            <w:pPr>
              <w:jc w:val="both"/>
              <w:rPr>
                <w:rFonts w:ascii="Verdana" w:eastAsia="MS Mincho" w:hAnsi="Verdana" w:cs="Times New Roman"/>
                <w:color w:val="943634"/>
                <w:sz w:val="19"/>
                <w:szCs w:val="19"/>
                <w:lang w:val="hu-HU"/>
              </w:rPr>
            </w:pPr>
            <w:r>
              <w:rPr>
                <w:rFonts w:ascii="Verdana" w:eastAsia="MS Mincho" w:hAnsi="Verdana" w:cs="Times New Roman"/>
                <w:color w:val="943634"/>
                <w:sz w:val="19"/>
                <w:szCs w:val="19"/>
                <w:lang w:val="hu-HU"/>
              </w:rPr>
              <w:t xml:space="preserve">Emberi Jogok Európai Bírósága, </w:t>
            </w:r>
            <w:r w:rsidR="001406E9" w:rsidRPr="000C29F0">
              <w:rPr>
                <w:rFonts w:ascii="Verdana" w:eastAsia="MS Mincho" w:hAnsi="Verdana" w:cs="Times New Roman"/>
                <w:iCs/>
                <w:color w:val="943634"/>
                <w:sz w:val="19"/>
                <w:szCs w:val="19"/>
                <w:lang w:val="hu-HU"/>
              </w:rPr>
              <w:t xml:space="preserve">Király </w:t>
            </w:r>
            <w:r>
              <w:rPr>
                <w:rFonts w:ascii="Verdana" w:eastAsia="MS Mincho" w:hAnsi="Verdana" w:cs="Times New Roman"/>
                <w:iCs/>
                <w:color w:val="943634"/>
                <w:sz w:val="19"/>
                <w:szCs w:val="19"/>
                <w:lang w:val="hu-HU"/>
              </w:rPr>
              <w:t>és</w:t>
            </w:r>
            <w:r w:rsidR="001406E9" w:rsidRPr="000C29F0">
              <w:rPr>
                <w:rFonts w:ascii="Verdana" w:eastAsia="MS Mincho" w:hAnsi="Verdana" w:cs="Times New Roman"/>
                <w:iCs/>
                <w:color w:val="943634"/>
                <w:sz w:val="19"/>
                <w:szCs w:val="19"/>
                <w:lang w:val="hu-HU"/>
              </w:rPr>
              <w:t xml:space="preserve"> Dömötör </w:t>
            </w:r>
            <w:r>
              <w:rPr>
                <w:rFonts w:ascii="Verdana" w:eastAsia="MS Mincho" w:hAnsi="Verdana" w:cs="Times New Roman"/>
                <w:iCs/>
                <w:color w:val="943634"/>
                <w:sz w:val="19"/>
                <w:szCs w:val="19"/>
                <w:lang w:val="hu-HU"/>
              </w:rPr>
              <w:t>kontra Magyarország</w:t>
            </w:r>
            <w:r w:rsidR="001406E9" w:rsidRPr="000C29F0">
              <w:rPr>
                <w:rFonts w:ascii="Verdana" w:eastAsia="MS Mincho" w:hAnsi="Verdana" w:cs="Times New Roman"/>
                <w:color w:val="943634"/>
                <w:sz w:val="19"/>
                <w:szCs w:val="19"/>
                <w:lang w:val="hu-HU"/>
              </w:rPr>
              <w:t>,</w:t>
            </w:r>
            <w:r w:rsidR="001406E9" w:rsidRPr="000C29F0">
              <w:rPr>
                <w:rFonts w:ascii="Verdana" w:eastAsia="MS Mincho" w:hAnsi="Verdana" w:cs="Times New Roman"/>
                <w:i/>
                <w:iCs/>
                <w:color w:val="943634"/>
                <w:sz w:val="19"/>
                <w:szCs w:val="19"/>
                <w:lang w:val="hu-HU"/>
              </w:rPr>
              <w:t>63409/11</w:t>
            </w:r>
            <w:r>
              <w:rPr>
                <w:rFonts w:ascii="Verdana" w:eastAsia="MS Mincho" w:hAnsi="Verdana" w:cs="Times New Roman"/>
                <w:i/>
                <w:iCs/>
                <w:color w:val="943634"/>
                <w:sz w:val="19"/>
                <w:szCs w:val="19"/>
                <w:lang w:val="hu-HU"/>
              </w:rPr>
              <w:t xml:space="preserve">. </w:t>
            </w:r>
            <w:r w:rsidRPr="009449C4">
              <w:rPr>
                <w:rFonts w:ascii="Verdana" w:eastAsia="MS Mincho" w:hAnsi="Verdana" w:cs="Times New Roman"/>
                <w:iCs/>
                <w:color w:val="943634"/>
                <w:sz w:val="19"/>
                <w:szCs w:val="19"/>
                <w:lang w:val="hu-HU"/>
              </w:rPr>
              <w:t>sz. kérelem</w:t>
            </w:r>
            <w:r w:rsidR="001406E9" w:rsidRPr="009449C4">
              <w:rPr>
                <w:rFonts w:ascii="Verdana" w:eastAsia="MS Mincho" w:hAnsi="Verdana" w:cs="Times New Roman"/>
                <w:iCs/>
                <w:color w:val="943634"/>
                <w:sz w:val="19"/>
                <w:szCs w:val="19"/>
                <w:lang w:val="hu-HU"/>
              </w:rPr>
              <w:t>,</w:t>
            </w:r>
            <w:r w:rsidR="001406E9" w:rsidRPr="000C29F0">
              <w:rPr>
                <w:rFonts w:ascii="Verdana" w:eastAsia="MS Mincho" w:hAnsi="Verdana" w:cs="Times New Roman"/>
                <w:iCs/>
                <w:color w:val="943634"/>
                <w:sz w:val="19"/>
                <w:szCs w:val="19"/>
                <w:lang w:val="hu-HU"/>
              </w:rPr>
              <w:t xml:space="preserve"> 2017</w:t>
            </w:r>
            <w:r>
              <w:rPr>
                <w:rFonts w:ascii="Verdana" w:eastAsia="MS Mincho" w:hAnsi="Verdana" w:cs="Times New Roman"/>
                <w:iCs/>
                <w:color w:val="943634"/>
                <w:sz w:val="19"/>
                <w:szCs w:val="19"/>
                <w:lang w:val="hu-HU"/>
              </w:rPr>
              <w:t>. január 17-én kelt ítélet</w:t>
            </w:r>
            <w:r w:rsidR="00686CF6">
              <w:rPr>
                <w:rFonts w:ascii="Verdana" w:eastAsia="MS Mincho" w:hAnsi="Verdana" w:cs="Times New Roman"/>
                <w:iCs/>
                <w:color w:val="943634"/>
                <w:sz w:val="19"/>
                <w:szCs w:val="19"/>
                <w:lang w:val="hu-HU"/>
              </w:rPr>
              <w:t xml:space="preserve"> (</w:t>
            </w:r>
            <w:hyperlink r:id="rId15" w:history="1">
              <w:r w:rsidR="001406E9" w:rsidRPr="000C29F0">
                <w:rPr>
                  <w:rStyle w:val="Hiperhivatkozs"/>
                  <w:rFonts w:ascii="Verdana" w:eastAsia="MS Mincho" w:hAnsi="Verdana" w:cs="Times New Roman"/>
                  <w:b w:val="0"/>
                  <w:bCs w:val="0"/>
                  <w:iCs/>
                  <w:sz w:val="19"/>
                  <w:szCs w:val="19"/>
                  <w:lang w:val="hu-HU"/>
                </w:rPr>
                <w:t>link</w:t>
              </w:r>
            </w:hyperlink>
            <w:r w:rsidR="00686CF6">
              <w:t>)</w:t>
            </w:r>
          </w:p>
          <w:p w:rsidR="001406E9" w:rsidRPr="000C29F0" w:rsidRDefault="001406E9" w:rsidP="00DD5F20">
            <w:pPr>
              <w:contextualSpacing/>
              <w:jc w:val="both"/>
              <w:rPr>
                <w:rFonts w:ascii="Verdana" w:eastAsia="MS Mincho" w:hAnsi="Verdana" w:cs="Times New Roman"/>
                <w:sz w:val="18"/>
                <w:szCs w:val="18"/>
                <w:u w:val="single"/>
                <w:lang w:val="hu-HU"/>
              </w:rPr>
            </w:pPr>
          </w:p>
          <w:p w:rsidR="0011272E" w:rsidRPr="00A53671" w:rsidRDefault="0011272E" w:rsidP="0011272E">
            <w:pPr>
              <w:contextualSpacing/>
              <w:jc w:val="both"/>
              <w:rPr>
                <w:rFonts w:ascii="Verdana" w:eastAsia="MS Mincho" w:hAnsi="Verdana" w:cs="Times New Roman"/>
                <w:i/>
                <w:sz w:val="18"/>
                <w:szCs w:val="18"/>
                <w:lang w:val="hu-HU"/>
              </w:rPr>
            </w:pPr>
            <w:r w:rsidRPr="0011272E">
              <w:rPr>
                <w:rFonts w:ascii="Verdana" w:eastAsia="MS Mincho" w:hAnsi="Verdana" w:cs="Times New Roman"/>
                <w:b w:val="0"/>
                <w:sz w:val="18"/>
                <w:szCs w:val="18"/>
                <w:u w:val="single"/>
                <w:lang w:val="hu-HU"/>
              </w:rPr>
              <w:t>Tényállás</w:t>
            </w:r>
            <w:r w:rsidRPr="0011272E">
              <w:rPr>
                <w:rFonts w:ascii="Verdana" w:eastAsia="MS Mincho" w:hAnsi="Verdana" w:cs="Times New Roman"/>
                <w:b w:val="0"/>
                <w:sz w:val="18"/>
                <w:szCs w:val="18"/>
                <w:lang w:val="hu-HU"/>
              </w:rPr>
              <w:t xml:space="preserve">: </w:t>
            </w:r>
            <w:r w:rsidRPr="00A53671">
              <w:rPr>
                <w:rFonts w:ascii="Verdana" w:eastAsia="MS Mincho" w:hAnsi="Verdana" w:cs="Times New Roman"/>
                <w:b w:val="0"/>
                <w:sz w:val="18"/>
                <w:szCs w:val="18"/>
                <w:lang w:val="hu-HU"/>
              </w:rPr>
              <w:t xml:space="preserve">Az ügyben két roma származás magyar állampolgár érintett, akik azt állították, hogy a rendőrség nem védte meg őket a rasszista visszaélésekkel szemben egy romaellenes tüntetés során, és nem vizsgálta ki megfelelően az esetet. </w:t>
            </w:r>
          </w:p>
          <w:p w:rsidR="0011272E" w:rsidRPr="00A53671" w:rsidRDefault="0011272E" w:rsidP="0011272E">
            <w:pPr>
              <w:contextualSpacing/>
              <w:jc w:val="both"/>
              <w:rPr>
                <w:rFonts w:ascii="Verdana" w:eastAsia="MS Mincho" w:hAnsi="Verdana" w:cs="Times New Roman"/>
                <w:b w:val="0"/>
                <w:sz w:val="18"/>
                <w:szCs w:val="18"/>
                <w:u w:val="single"/>
                <w:lang w:val="hu-HU"/>
              </w:rPr>
            </w:pPr>
          </w:p>
          <w:p w:rsidR="0011272E" w:rsidRPr="00A53671" w:rsidRDefault="0011272E" w:rsidP="0011272E">
            <w:pPr>
              <w:contextualSpacing/>
              <w:jc w:val="both"/>
              <w:rPr>
                <w:rFonts w:ascii="Verdana" w:eastAsia="MS Mincho" w:hAnsi="Verdana" w:cs="Times New Roman"/>
                <w:bCs w:val="0"/>
                <w:sz w:val="18"/>
                <w:szCs w:val="18"/>
                <w:lang w:val="hu-HU"/>
              </w:rPr>
            </w:pPr>
            <w:r w:rsidRPr="0011272E">
              <w:rPr>
                <w:rFonts w:ascii="Verdana" w:eastAsia="MS Mincho" w:hAnsi="Verdana" w:cs="Times New Roman"/>
                <w:b w:val="0"/>
                <w:sz w:val="18"/>
                <w:szCs w:val="18"/>
                <w:u w:val="single"/>
                <w:lang w:val="hu-HU"/>
              </w:rPr>
              <w:t>Elemzés</w:t>
            </w:r>
            <w:proofErr w:type="gramStart"/>
            <w:r w:rsidRPr="0011272E">
              <w:rPr>
                <w:rFonts w:ascii="Verdana" w:eastAsia="MS Mincho" w:hAnsi="Verdana" w:cs="Times New Roman"/>
                <w:b w:val="0"/>
                <w:sz w:val="18"/>
                <w:szCs w:val="18"/>
                <w:lang w:val="hu-HU"/>
              </w:rPr>
              <w:t>:</w:t>
            </w:r>
            <w:r w:rsidRPr="00A53671">
              <w:rPr>
                <w:rFonts w:ascii="Verdana" w:eastAsia="MS Mincho" w:hAnsi="Verdana" w:cs="Times New Roman"/>
                <w:b w:val="0"/>
                <w:sz w:val="18"/>
                <w:szCs w:val="18"/>
                <w:lang w:val="hu-HU"/>
              </w:rPr>
              <w:t>A</w:t>
            </w:r>
            <w:proofErr w:type="gramEnd"/>
            <w:r w:rsidRPr="00A53671">
              <w:rPr>
                <w:rFonts w:ascii="Verdana" w:eastAsia="MS Mincho" w:hAnsi="Verdana" w:cs="Times New Roman"/>
                <w:b w:val="0"/>
                <w:sz w:val="18"/>
                <w:szCs w:val="18"/>
                <w:lang w:val="hu-HU"/>
              </w:rPr>
              <w:t xml:space="preserve"> Bíróság úgy ítélte meg, hogy a hatóságok az eseményt csak korlátozottan vizsgálták ki. Pontosabban az egyik vizsgálat, amely a demonstráció során elhangzó beszédekkel foglalkozott, nem vette figyelembe a visszaélések sajátos kontextusát, a másik pedig, amely a csoport elleni erőszak vétségével foglalkozott, lassú volt, és kizárólag a fizikai erőszakra korlátozódott. A vizsgálatok ezért nem fedték fel az események valódi és összetett mivoltát. E hiányosságok együttes hatása azt eredményezte, hogy egy nyíltan rasszista demonstráció, amely során elszórtan erőszakos cselekmények is előfordultak, gyakorlatilag jogi következmények nélkül maradt. Ráadásul a kérelmezők lelki épségét sem védték meg hatékonyan egy olyan jelenség ellen, ami nem kevesebbé, mint a roma közösség félkatonai jellegű felvonulásokkal, szóbeli fenyegetésekkel és faji alapú szegregációval történő szervezett megfélemlítésévé nőtte ki magát. </w:t>
            </w:r>
            <w:r w:rsidRPr="00A53671">
              <w:rPr>
                <w:rFonts w:ascii="Verdana" w:eastAsia="MS Mincho" w:hAnsi="Verdana" w:cs="Times New Roman"/>
                <w:sz w:val="18"/>
                <w:szCs w:val="18"/>
                <w:lang w:val="hu-HU"/>
              </w:rPr>
              <w:t>A Bíróság aggodalmának adott hangot, hogy ezt a nyilvánosság úgy értékelheti, mintha az állam legitimálná és/vagy tolerálná az ilyen viselkedésformákat.</w:t>
            </w:r>
          </w:p>
          <w:p w:rsidR="0011272E" w:rsidRPr="00A53671" w:rsidRDefault="0011272E" w:rsidP="0011272E">
            <w:pPr>
              <w:contextualSpacing/>
              <w:jc w:val="both"/>
              <w:rPr>
                <w:rFonts w:ascii="Verdana" w:eastAsia="MS Mincho" w:hAnsi="Verdana" w:cs="Times New Roman"/>
                <w:b w:val="0"/>
                <w:sz w:val="18"/>
                <w:szCs w:val="18"/>
                <w:lang w:val="hu-HU"/>
              </w:rPr>
            </w:pPr>
          </w:p>
          <w:p w:rsidR="004E67BF" w:rsidRPr="00A53671" w:rsidRDefault="004E67BF" w:rsidP="004E67BF">
            <w:pPr>
              <w:pStyle w:val="Listaszerbekezds"/>
              <w:jc w:val="both"/>
              <w:rPr>
                <w:rFonts w:ascii="Verdana" w:eastAsia="MS Mincho" w:hAnsi="Verdana" w:cs="Times New Roman"/>
                <w:bCs w:val="0"/>
                <w:i/>
                <w:sz w:val="18"/>
                <w:szCs w:val="18"/>
                <w:lang w:val="hu-HU"/>
              </w:rPr>
            </w:pPr>
            <w:r w:rsidRPr="00A53671">
              <w:rPr>
                <w:rFonts w:ascii="Verdana" w:eastAsia="MS Mincho" w:hAnsi="Verdana" w:cs="Times New Roman"/>
                <w:b w:val="0"/>
                <w:i/>
                <w:sz w:val="18"/>
                <w:szCs w:val="18"/>
                <w:u w:val="single"/>
                <w:lang w:val="hu-HU"/>
              </w:rPr>
              <w:t>64. bekezdés</w:t>
            </w:r>
            <w:r w:rsidRPr="00A53671">
              <w:rPr>
                <w:rFonts w:ascii="Verdana" w:eastAsia="MS Mincho" w:hAnsi="Verdana" w:cs="Times New Roman"/>
                <w:b w:val="0"/>
                <w:i/>
                <w:sz w:val="18"/>
                <w:szCs w:val="18"/>
                <w:lang w:val="hu-HU"/>
              </w:rPr>
              <w:t xml:space="preserve">: Ami </w:t>
            </w:r>
            <w:r w:rsidR="00686CF6">
              <w:rPr>
                <w:rFonts w:ascii="Verdana" w:eastAsia="MS Mincho" w:hAnsi="Verdana" w:cs="Times New Roman"/>
                <w:b w:val="0"/>
                <w:i/>
                <w:sz w:val="18"/>
                <w:szCs w:val="18"/>
                <w:lang w:val="hu-HU"/>
              </w:rPr>
              <w:t xml:space="preserve">a </w:t>
            </w:r>
            <w:r w:rsidRPr="00A53671">
              <w:rPr>
                <w:rFonts w:ascii="Verdana" w:eastAsia="MS Mincho" w:hAnsi="Verdana" w:cs="Times New Roman"/>
                <w:b w:val="0"/>
                <w:i/>
                <w:sz w:val="18"/>
                <w:szCs w:val="18"/>
                <w:lang w:val="hu-HU"/>
              </w:rPr>
              <w:t xml:space="preserve">rendőrség későbbiekben a Közigazgatási és Munkaügyi Bíróság és a Kúria által is felülvizsgált döntését illeti, </w:t>
            </w:r>
            <w:r>
              <w:rPr>
                <w:rFonts w:ascii="Verdana" w:eastAsia="MS Mincho" w:hAnsi="Verdana" w:cs="Times New Roman"/>
                <w:b w:val="0"/>
                <w:i/>
                <w:sz w:val="18"/>
                <w:szCs w:val="18"/>
                <w:lang w:val="hu-HU"/>
              </w:rPr>
              <w:t>mely szerint</w:t>
            </w:r>
            <w:r w:rsidRPr="00A53671">
              <w:rPr>
                <w:rFonts w:ascii="Verdana" w:eastAsia="MS Mincho" w:hAnsi="Verdana" w:cs="Times New Roman"/>
                <w:b w:val="0"/>
                <w:i/>
                <w:sz w:val="18"/>
                <w:szCs w:val="18"/>
                <w:lang w:val="hu-HU"/>
              </w:rPr>
              <w:t xml:space="preserve"> nem oszlatják fel a demonstrációt, jelen Bíróság korábban már elfogadta, hogy bizonyos helyzetekben a nemzeti hatóságoknak kötelességük lehet </w:t>
            </w:r>
            <w:r>
              <w:rPr>
                <w:rFonts w:ascii="Verdana" w:eastAsia="MS Mincho" w:hAnsi="Verdana" w:cs="Times New Roman"/>
                <w:b w:val="0"/>
                <w:i/>
                <w:sz w:val="18"/>
                <w:szCs w:val="18"/>
                <w:lang w:val="hu-HU"/>
              </w:rPr>
              <w:t xml:space="preserve">lépéseket tenni </w:t>
            </w:r>
            <w:r w:rsidRPr="00A53671">
              <w:rPr>
                <w:rFonts w:ascii="Verdana" w:eastAsia="MS Mincho" w:hAnsi="Verdana" w:cs="Times New Roman"/>
                <w:b w:val="0"/>
                <w:i/>
                <w:sz w:val="18"/>
                <w:szCs w:val="18"/>
                <w:lang w:val="hu-HU"/>
              </w:rPr>
              <w:t>az erőszakos és nyilvánvalóan intoleráns demonstrációk</w:t>
            </w:r>
            <w:r>
              <w:rPr>
                <w:rFonts w:ascii="Verdana" w:eastAsia="MS Mincho" w:hAnsi="Verdana" w:cs="Times New Roman"/>
                <w:b w:val="0"/>
                <w:i/>
                <w:sz w:val="18"/>
                <w:szCs w:val="18"/>
                <w:lang w:val="hu-HU"/>
              </w:rPr>
              <w:t xml:space="preserve"> feloszlatására</w:t>
            </w:r>
            <w:r w:rsidRPr="00A53671">
              <w:rPr>
                <w:rFonts w:ascii="Verdana" w:eastAsia="MS Mincho" w:hAnsi="Verdana" w:cs="Times New Roman"/>
                <w:b w:val="0"/>
                <w:i/>
                <w:sz w:val="18"/>
                <w:szCs w:val="18"/>
                <w:lang w:val="hu-HU"/>
              </w:rPr>
              <w:t xml:space="preserve"> az egyének 8. cikk szerinti magánéletének védelmében (lásd R</w:t>
            </w:r>
            <w:proofErr w:type="gramStart"/>
            <w:r w:rsidRPr="00A53671">
              <w:rPr>
                <w:rFonts w:ascii="Verdana" w:eastAsia="MS Mincho" w:hAnsi="Verdana" w:cs="Times New Roman"/>
                <w:b w:val="0"/>
                <w:i/>
                <w:sz w:val="18"/>
                <w:szCs w:val="18"/>
                <w:lang w:val="hu-HU"/>
              </w:rPr>
              <w:t>.B.</w:t>
            </w:r>
            <w:proofErr w:type="gramEnd"/>
            <w:r w:rsidRPr="00A53671">
              <w:rPr>
                <w:rFonts w:ascii="Verdana" w:eastAsia="MS Mincho" w:hAnsi="Verdana" w:cs="Times New Roman"/>
                <w:b w:val="0"/>
                <w:i/>
                <w:sz w:val="18"/>
                <w:szCs w:val="18"/>
                <w:lang w:val="hu-HU"/>
              </w:rPr>
              <w:t xml:space="preserve"> kontra Magyarország, 99. bekezdés). A demonstrációk feloszlatásának nemzeti gyakorlatát megvizsgálva, úgy tűnik, hogy a rendőrségnek hasonlóképpen kötelessége feloszlatni egy gyűlést, ha a gyülekezési jog gyakorlása bűncselekményt vagy bűncselekmény </w:t>
            </w:r>
            <w:r w:rsidRPr="00A53671">
              <w:rPr>
                <w:rFonts w:ascii="Verdana" w:eastAsia="MS Mincho" w:hAnsi="Verdana" w:cs="Times New Roman"/>
                <w:b w:val="0"/>
                <w:i/>
                <w:sz w:val="18"/>
                <w:szCs w:val="18"/>
                <w:lang w:val="hu-HU"/>
              </w:rPr>
              <w:lastRenderedPageBreak/>
              <w:t>elkövetésére való felhívást valósít meg</w:t>
            </w:r>
            <w:r w:rsidR="00686CF6">
              <w:rPr>
                <w:rFonts w:ascii="Verdana" w:eastAsia="MS Mincho" w:hAnsi="Verdana" w:cs="Times New Roman"/>
                <w:b w:val="0"/>
                <w:i/>
                <w:sz w:val="18"/>
                <w:szCs w:val="18"/>
                <w:lang w:val="hu-HU"/>
              </w:rPr>
              <w:t>,</w:t>
            </w:r>
            <w:r w:rsidRPr="00A53671">
              <w:rPr>
                <w:rFonts w:ascii="Verdana" w:eastAsia="MS Mincho" w:hAnsi="Verdana" w:cs="Times New Roman"/>
                <w:b w:val="0"/>
                <w:i/>
                <w:sz w:val="18"/>
                <w:szCs w:val="18"/>
                <w:lang w:val="hu-HU"/>
              </w:rPr>
              <w:t xml:space="preserve"> vagy megsérti mások jogait és szabadságait, ahogyan az Alkotmánybíróság ítélete mutatja (lásd a 35. bekezdést).</w:t>
            </w:r>
          </w:p>
          <w:p w:rsidR="004E67BF" w:rsidRPr="00A53671" w:rsidRDefault="004E67BF" w:rsidP="004E67BF">
            <w:pPr>
              <w:pStyle w:val="Listaszerbekezds"/>
              <w:jc w:val="both"/>
              <w:rPr>
                <w:rFonts w:ascii="Verdana" w:eastAsia="MS Mincho" w:hAnsi="Verdana" w:cs="Times New Roman"/>
                <w:bCs w:val="0"/>
                <w:i/>
                <w:sz w:val="18"/>
                <w:szCs w:val="18"/>
                <w:lang w:val="hu-HU"/>
              </w:rPr>
            </w:pPr>
          </w:p>
          <w:p w:rsidR="004E67BF" w:rsidRPr="00A53671" w:rsidRDefault="004E67BF" w:rsidP="004E67BF">
            <w:pPr>
              <w:pStyle w:val="Listaszerbekezds"/>
              <w:jc w:val="both"/>
              <w:rPr>
                <w:rFonts w:ascii="Verdana" w:eastAsia="MS Mincho" w:hAnsi="Verdana" w:cs="Times New Roman"/>
                <w:bCs w:val="0"/>
                <w:sz w:val="18"/>
                <w:szCs w:val="18"/>
                <w:lang w:val="hu-HU"/>
              </w:rPr>
            </w:pPr>
            <w:r w:rsidRPr="00A53671">
              <w:rPr>
                <w:rFonts w:ascii="Verdana" w:eastAsia="MS Mincho" w:hAnsi="Verdana" w:cs="Times New Roman"/>
                <w:b w:val="0"/>
                <w:i/>
                <w:sz w:val="18"/>
                <w:szCs w:val="18"/>
                <w:u w:val="single"/>
                <w:lang w:val="hu-HU"/>
              </w:rPr>
              <w:t>77. bekezdés</w:t>
            </w:r>
            <w:r w:rsidRPr="00A53671">
              <w:rPr>
                <w:rFonts w:ascii="Verdana" w:eastAsia="MS Mincho" w:hAnsi="Verdana" w:cs="Times New Roman"/>
                <w:b w:val="0"/>
                <w:i/>
                <w:sz w:val="18"/>
                <w:szCs w:val="18"/>
                <w:lang w:val="hu-HU"/>
              </w:rPr>
              <w:t>:</w:t>
            </w:r>
            <w:r w:rsidRPr="00A53671">
              <w:rPr>
                <w:rFonts w:ascii="Verdana" w:eastAsia="MS Mincho" w:hAnsi="Verdana" w:cs="Times New Roman"/>
                <w:b w:val="0"/>
                <w:sz w:val="18"/>
                <w:szCs w:val="18"/>
                <w:lang w:val="hu-HU"/>
              </w:rPr>
              <w:t xml:space="preserve"> Ráadásul </w:t>
            </w:r>
            <w:r w:rsidRPr="004E67BF">
              <w:rPr>
                <w:rFonts w:ascii="Verdana" w:eastAsia="MS Mincho" w:hAnsi="Verdana" w:cs="Times New Roman"/>
                <w:b w:val="0"/>
                <w:sz w:val="18"/>
                <w:szCs w:val="18"/>
                <w:lang w:val="hu-HU"/>
              </w:rPr>
              <w:t>az eseményt olyan időszakban szervezték, amikor a nagy csoportban történő felvonulások és a roma kisebbség célkeresztbe állítása olyan mértéket öltött, ami már „nagyarányú, szervezett megfélemlítésnek” minősülhet (lásd Vona, mint fent, 69.</w:t>
            </w:r>
            <w:r w:rsidRPr="004E67BF">
              <w:rPr>
                <w:rFonts w:ascii="Verdana" w:eastAsia="MS Mincho" w:hAnsi="Verdana" w:cs="Times New Roman"/>
                <w:b w:val="0"/>
                <w:bCs w:val="0"/>
                <w:sz w:val="18"/>
                <w:szCs w:val="18"/>
                <w:lang w:val="hu-HU"/>
              </w:rPr>
              <w:t xml:space="preserve"> bekezdés)</w:t>
            </w:r>
            <w:r w:rsidR="00686CF6">
              <w:rPr>
                <w:rFonts w:ascii="Verdana" w:eastAsia="MS Mincho" w:hAnsi="Verdana" w:cs="Times New Roman"/>
                <w:b w:val="0"/>
                <w:bCs w:val="0"/>
                <w:sz w:val="18"/>
                <w:szCs w:val="18"/>
                <w:lang w:val="hu-HU"/>
              </w:rPr>
              <w:t>.</w:t>
            </w:r>
          </w:p>
          <w:p w:rsidR="004E67BF" w:rsidRPr="00A53671" w:rsidRDefault="004E67BF" w:rsidP="004E67BF">
            <w:pPr>
              <w:pStyle w:val="Listaszerbekezds"/>
              <w:jc w:val="both"/>
              <w:rPr>
                <w:rFonts w:ascii="Verdana" w:eastAsia="MS Mincho" w:hAnsi="Verdana" w:cs="Times New Roman"/>
                <w:b w:val="0"/>
                <w:i/>
                <w:sz w:val="18"/>
                <w:szCs w:val="18"/>
                <w:u w:val="single"/>
                <w:lang w:val="hu-HU"/>
              </w:rPr>
            </w:pPr>
          </w:p>
          <w:p w:rsidR="004E67BF" w:rsidRPr="00A53671" w:rsidRDefault="004E67BF" w:rsidP="004E67BF">
            <w:pPr>
              <w:pStyle w:val="Listaszerbekezds"/>
              <w:jc w:val="both"/>
              <w:rPr>
                <w:rFonts w:ascii="Verdana" w:eastAsia="MS Mincho" w:hAnsi="Verdana" w:cs="Times New Roman"/>
                <w:b w:val="0"/>
                <w:i/>
                <w:sz w:val="18"/>
                <w:szCs w:val="18"/>
                <w:lang w:val="hu-HU"/>
              </w:rPr>
            </w:pPr>
            <w:r w:rsidRPr="00A53671">
              <w:rPr>
                <w:rFonts w:ascii="Verdana" w:eastAsia="MS Mincho" w:hAnsi="Verdana" w:cs="Times New Roman"/>
                <w:b w:val="0"/>
                <w:i/>
                <w:sz w:val="18"/>
                <w:szCs w:val="18"/>
                <w:u w:val="single"/>
                <w:lang w:val="hu-HU"/>
              </w:rPr>
              <w:t>78. bekezdés</w:t>
            </w:r>
            <w:r w:rsidRPr="00A53671">
              <w:rPr>
                <w:rFonts w:ascii="Verdana" w:eastAsia="MS Mincho" w:hAnsi="Verdana" w:cs="Times New Roman"/>
                <w:b w:val="0"/>
                <w:i/>
                <w:sz w:val="18"/>
                <w:szCs w:val="18"/>
                <w:lang w:val="hu-HU"/>
              </w:rPr>
              <w:t>: A Bíróság szerint ezek releváns szempontok voltak, amelyeket figyelembe kellett volna venni a beszédek természetének értékelésekor. Ez annál is inkább igaz, mivel a nemzeti bíróságok ítélkezési gyakorlata szerint a rasszista kijelentések elhangzásuk körülményeivel együttesen megvalósíthatják az erőszak és mások jogai megsértésének egyértelmű és fenyegető kockázatát (lásd 36. bekezdés). Úgy tűnik azonban, hogy a kivizsgálást végző hatóságok nem vették figyelembe ezeket az elemeket, amikor úgy döntöttek, hogy a kijelentések gyűlöletkeltő és becsmérlő jellegűek voltak ugyan, de nem bujtottak erőszakra. Ezzel a nemzeti hatóságok érthetetlen módon leszűkítették a saját nyomozásuk hatókörét.</w:t>
            </w:r>
          </w:p>
          <w:p w:rsidR="004E67BF" w:rsidRPr="00A53671" w:rsidRDefault="004E67BF" w:rsidP="004E67BF">
            <w:pPr>
              <w:pStyle w:val="Listaszerbekezds"/>
              <w:jc w:val="both"/>
              <w:rPr>
                <w:rFonts w:ascii="Verdana" w:eastAsia="MS Mincho" w:hAnsi="Verdana" w:cs="Times New Roman"/>
                <w:b w:val="0"/>
                <w:i/>
                <w:sz w:val="18"/>
                <w:szCs w:val="18"/>
                <w:u w:val="single"/>
                <w:lang w:val="hu-HU"/>
              </w:rPr>
            </w:pPr>
          </w:p>
          <w:p w:rsidR="004E67BF" w:rsidRPr="00A53671" w:rsidRDefault="004E67BF" w:rsidP="004E67BF">
            <w:pPr>
              <w:pStyle w:val="Listaszerbekezds"/>
              <w:jc w:val="both"/>
              <w:rPr>
                <w:rFonts w:ascii="Verdana" w:eastAsia="MS Mincho" w:hAnsi="Verdana" w:cs="Times New Roman"/>
                <w:b w:val="0"/>
                <w:i/>
                <w:sz w:val="18"/>
                <w:szCs w:val="18"/>
                <w:lang w:val="hu-HU"/>
              </w:rPr>
            </w:pPr>
            <w:r w:rsidRPr="00A53671">
              <w:rPr>
                <w:rFonts w:ascii="Verdana" w:eastAsia="MS Mincho" w:hAnsi="Verdana" w:cs="Times New Roman"/>
                <w:b w:val="0"/>
                <w:i/>
                <w:sz w:val="18"/>
                <w:szCs w:val="18"/>
                <w:u w:val="single"/>
                <w:lang w:val="hu-HU"/>
              </w:rPr>
              <w:t>79. bekezdés</w:t>
            </w:r>
            <w:r w:rsidRPr="00A53671">
              <w:rPr>
                <w:rFonts w:ascii="Verdana" w:eastAsia="MS Mincho" w:hAnsi="Verdana" w:cs="Times New Roman"/>
                <w:b w:val="0"/>
                <w:i/>
                <w:sz w:val="18"/>
                <w:szCs w:val="18"/>
                <w:lang w:val="hu-HU"/>
              </w:rPr>
              <w:t xml:space="preserve">: Ami a </w:t>
            </w:r>
            <w:r w:rsidR="00686CF6">
              <w:rPr>
                <w:rFonts w:ascii="Verdana" w:eastAsia="MS Mincho" w:hAnsi="Verdana" w:cs="Times New Roman"/>
                <w:b w:val="0"/>
                <w:i/>
                <w:sz w:val="18"/>
                <w:szCs w:val="18"/>
                <w:lang w:val="hu-HU"/>
              </w:rPr>
              <w:t>közösség</w:t>
            </w:r>
            <w:r w:rsidR="00686CF6" w:rsidRPr="00A53671">
              <w:rPr>
                <w:rFonts w:ascii="Verdana" w:eastAsia="MS Mincho" w:hAnsi="Verdana" w:cs="Times New Roman"/>
                <w:b w:val="0"/>
                <w:i/>
                <w:sz w:val="18"/>
                <w:szCs w:val="18"/>
                <w:lang w:val="hu-HU"/>
              </w:rPr>
              <w:t xml:space="preserve"> </w:t>
            </w:r>
            <w:r w:rsidRPr="00A53671">
              <w:rPr>
                <w:rFonts w:ascii="Verdana" w:eastAsia="MS Mincho" w:hAnsi="Verdana" w:cs="Times New Roman"/>
                <w:b w:val="0"/>
                <w:i/>
                <w:sz w:val="18"/>
                <w:szCs w:val="18"/>
                <w:lang w:val="hu-HU"/>
              </w:rPr>
              <w:t>tagja elleni erősza</w:t>
            </w:r>
            <w:r>
              <w:rPr>
                <w:rFonts w:ascii="Verdana" w:eastAsia="MS Mincho" w:hAnsi="Verdana" w:cs="Times New Roman"/>
                <w:b w:val="0"/>
                <w:i/>
                <w:sz w:val="18"/>
                <w:szCs w:val="18"/>
                <w:lang w:val="hu-HU"/>
              </w:rPr>
              <w:t>k</w:t>
            </w:r>
            <w:r w:rsidRPr="00A53671">
              <w:rPr>
                <w:rFonts w:ascii="Verdana" w:eastAsia="MS Mincho" w:hAnsi="Verdana" w:cs="Times New Roman"/>
                <w:b w:val="0"/>
                <w:i/>
                <w:sz w:val="18"/>
                <w:szCs w:val="18"/>
                <w:lang w:val="hu-HU"/>
              </w:rPr>
              <w:t xml:space="preserve"> vétségére vonatkozó bűnügyi nyomozást illeti, a Bíróság emlékeztet, hogy ahhoz, hogy egy „nyomozást „hatékonynak” lehessen tekinteni, annak elvben el kell tudnia vezetni az ügy tényállásának felderítéséhez, valamint a felelősök azonosításához és megbüntetéséhez. Ez azonban nem az eredményre, hanem az eszközökre vonatkozó előírás” (lásd, noha a 3. cikkel összefüggésben, </w:t>
            </w:r>
            <w:proofErr w:type="spellStart"/>
            <w:r w:rsidRPr="00A53671">
              <w:rPr>
                <w:rFonts w:ascii="Verdana" w:eastAsia="MS Mincho" w:hAnsi="Verdana" w:cs="Times New Roman"/>
                <w:b w:val="0"/>
                <w:i/>
                <w:sz w:val="18"/>
                <w:szCs w:val="18"/>
                <w:lang w:val="hu-HU"/>
              </w:rPr>
              <w:t>Identoba</w:t>
            </w:r>
            <w:proofErr w:type="spellEnd"/>
            <w:r w:rsidRPr="00A53671">
              <w:rPr>
                <w:rFonts w:ascii="Verdana" w:eastAsia="MS Mincho" w:hAnsi="Verdana" w:cs="Times New Roman"/>
                <w:b w:val="0"/>
                <w:i/>
                <w:sz w:val="18"/>
                <w:szCs w:val="18"/>
                <w:lang w:val="hu-HU"/>
              </w:rPr>
              <w:t xml:space="preserve"> és társai kontra Grúzia, 73235/12 sz. kérelem, 66. bekezdés, 2015. május 12.). A jelen esetben ezek az eljárások majdnem három évig tartottak és hatókörüket törvény korlátozta a konkrét erőszakos cselekményekre. A hatóságok végül egy vádemelésre alkalmas cselekményt azonosítottak; az elkövető ellen vádat emeltek </w:t>
            </w:r>
            <w:r w:rsidR="00686CF6">
              <w:rPr>
                <w:rFonts w:ascii="Verdana" w:eastAsia="MS Mincho" w:hAnsi="Verdana" w:cs="Times New Roman"/>
                <w:b w:val="0"/>
                <w:i/>
                <w:sz w:val="18"/>
                <w:szCs w:val="18"/>
                <w:lang w:val="hu-HU"/>
              </w:rPr>
              <w:t>közösség</w:t>
            </w:r>
            <w:r w:rsidR="00686CF6" w:rsidRPr="00A53671">
              <w:rPr>
                <w:rFonts w:ascii="Verdana" w:eastAsia="MS Mincho" w:hAnsi="Verdana" w:cs="Times New Roman"/>
                <w:b w:val="0"/>
                <w:i/>
                <w:sz w:val="18"/>
                <w:szCs w:val="18"/>
                <w:lang w:val="hu-HU"/>
              </w:rPr>
              <w:t xml:space="preserve"> </w:t>
            </w:r>
            <w:r w:rsidRPr="00A53671">
              <w:rPr>
                <w:rFonts w:ascii="Verdana" w:eastAsia="MS Mincho" w:hAnsi="Verdana" w:cs="Times New Roman"/>
                <w:b w:val="0"/>
                <w:i/>
                <w:sz w:val="18"/>
                <w:szCs w:val="18"/>
                <w:lang w:val="hu-HU"/>
              </w:rPr>
              <w:t>tagja elleni erőszakért és el is ítélték ezért a vétségért. Bár a rendőrségnek elegendő idő állt rendelkezésére, hogy felkészüljenek az eseményre, és számos személyt ki kellett volna hallgatniuk az eset után (lásd a 17. bekezdést), csak öt tüntető</w:t>
            </w:r>
            <w:r w:rsidR="00686CF6">
              <w:rPr>
                <w:rFonts w:ascii="Verdana" w:eastAsia="MS Mincho" w:hAnsi="Verdana" w:cs="Times New Roman"/>
                <w:b w:val="0"/>
                <w:i/>
                <w:sz w:val="18"/>
                <w:szCs w:val="18"/>
                <w:lang w:val="hu-HU"/>
              </w:rPr>
              <w:t>t</w:t>
            </w:r>
            <w:r w:rsidRPr="00A53671">
              <w:rPr>
                <w:rFonts w:ascii="Verdana" w:eastAsia="MS Mincho" w:hAnsi="Verdana" w:cs="Times New Roman"/>
                <w:b w:val="0"/>
                <w:i/>
                <w:sz w:val="18"/>
                <w:szCs w:val="18"/>
                <w:lang w:val="hu-HU"/>
              </w:rPr>
              <w:t xml:space="preserve"> kérdeztek ki, és három állítólagos elkövetőt nem tudtak azonosítani. </w:t>
            </w:r>
            <w:r w:rsidR="00686CF6" w:rsidRPr="00A53671">
              <w:rPr>
                <w:rFonts w:ascii="Verdana" w:eastAsia="MS Mincho" w:hAnsi="Verdana" w:cs="Times New Roman"/>
                <w:b w:val="0"/>
                <w:i/>
                <w:sz w:val="18"/>
                <w:szCs w:val="18"/>
                <w:lang w:val="hu-HU"/>
              </w:rPr>
              <w:t xml:space="preserve">A potenciálisan a kérdéses vétség </w:t>
            </w:r>
            <w:r w:rsidR="00686CF6">
              <w:rPr>
                <w:rFonts w:ascii="Verdana" w:eastAsia="MS Mincho" w:hAnsi="Verdana" w:cs="Times New Roman"/>
                <w:b w:val="0"/>
                <w:i/>
                <w:sz w:val="18"/>
                <w:szCs w:val="18"/>
                <w:lang w:val="hu-HU"/>
              </w:rPr>
              <w:t>fogalmi körébe tartozó további körülmények bizonyítottságának</w:t>
            </w:r>
            <w:r w:rsidR="00686CF6" w:rsidRPr="00A53671">
              <w:rPr>
                <w:rFonts w:ascii="Verdana" w:eastAsia="MS Mincho" w:hAnsi="Verdana" w:cs="Times New Roman"/>
                <w:b w:val="0"/>
                <w:i/>
                <w:sz w:val="18"/>
                <w:szCs w:val="18"/>
                <w:lang w:val="hu-HU"/>
              </w:rPr>
              <w:t xml:space="preserve"> hiánya miatt a rendőrség nem volt abban a helyzetben, hogy kiterjessze a </w:t>
            </w:r>
            <w:r w:rsidR="00686CF6">
              <w:rPr>
                <w:rFonts w:ascii="Verdana" w:eastAsia="MS Mincho" w:hAnsi="Verdana" w:cs="Times New Roman"/>
                <w:b w:val="0"/>
                <w:i/>
                <w:sz w:val="18"/>
                <w:szCs w:val="18"/>
                <w:lang w:val="hu-HU"/>
              </w:rPr>
              <w:t>nyomozás</w:t>
            </w:r>
            <w:r w:rsidR="00686CF6" w:rsidRPr="00A53671">
              <w:rPr>
                <w:rFonts w:ascii="Verdana" w:eastAsia="MS Mincho" w:hAnsi="Verdana" w:cs="Times New Roman"/>
                <w:b w:val="0"/>
                <w:i/>
                <w:sz w:val="18"/>
                <w:szCs w:val="18"/>
                <w:lang w:val="hu-HU"/>
              </w:rPr>
              <w:t xml:space="preserve">t más elkövetőkre is. </w:t>
            </w:r>
            <w:r w:rsidRPr="00A53671">
              <w:rPr>
                <w:rFonts w:ascii="Verdana" w:eastAsia="MS Mincho" w:hAnsi="Verdana" w:cs="Times New Roman"/>
                <w:b w:val="0"/>
                <w:i/>
                <w:sz w:val="18"/>
                <w:szCs w:val="18"/>
                <w:lang w:val="hu-HU"/>
              </w:rPr>
              <w:t>Ilyen körülmények között a Bíróság megállapította, hogy ez az eljárás önmagában nem volt alkalmas arra, hogy „elvezessen az ügy tényállásának felderítéséhez”</w:t>
            </w:r>
            <w:r w:rsidR="00686CF6">
              <w:rPr>
                <w:rFonts w:ascii="Verdana" w:eastAsia="MS Mincho" w:hAnsi="Verdana" w:cs="Times New Roman"/>
                <w:b w:val="0"/>
                <w:i/>
                <w:sz w:val="18"/>
                <w:szCs w:val="18"/>
                <w:lang w:val="hu-HU"/>
              </w:rPr>
              <w:t>,</w:t>
            </w:r>
            <w:r w:rsidRPr="00A53671">
              <w:rPr>
                <w:rFonts w:ascii="Verdana" w:eastAsia="MS Mincho" w:hAnsi="Verdana" w:cs="Times New Roman"/>
                <w:b w:val="0"/>
                <w:i/>
                <w:sz w:val="18"/>
                <w:szCs w:val="18"/>
                <w:lang w:val="hu-HU"/>
              </w:rPr>
              <w:t xml:space="preserve"> és nem volt elégséges válasz a panasz által érintett helyzet valós és összetett </w:t>
            </w:r>
            <w:r>
              <w:rPr>
                <w:rFonts w:ascii="Verdana" w:eastAsia="MS Mincho" w:hAnsi="Verdana" w:cs="Times New Roman"/>
                <w:b w:val="0"/>
                <w:i/>
                <w:sz w:val="18"/>
                <w:szCs w:val="18"/>
                <w:lang w:val="hu-HU"/>
              </w:rPr>
              <w:t>természetére</w:t>
            </w:r>
            <w:r w:rsidRPr="00A53671">
              <w:rPr>
                <w:rFonts w:ascii="Verdana" w:eastAsia="MS Mincho" w:hAnsi="Verdana" w:cs="Times New Roman"/>
                <w:b w:val="0"/>
                <w:i/>
                <w:sz w:val="18"/>
                <w:szCs w:val="18"/>
                <w:lang w:val="hu-HU"/>
              </w:rPr>
              <w:t>.</w:t>
            </w:r>
          </w:p>
          <w:p w:rsidR="004E67BF" w:rsidRPr="00A53671" w:rsidRDefault="004E67BF" w:rsidP="004E67BF">
            <w:pPr>
              <w:pStyle w:val="Listaszerbekezds"/>
              <w:jc w:val="both"/>
              <w:rPr>
                <w:rFonts w:ascii="Verdana" w:eastAsia="MS Mincho" w:hAnsi="Verdana" w:cs="Times New Roman"/>
                <w:b w:val="0"/>
                <w:i/>
                <w:sz w:val="18"/>
                <w:szCs w:val="18"/>
                <w:u w:val="single"/>
                <w:lang w:val="hu-HU"/>
              </w:rPr>
            </w:pPr>
          </w:p>
          <w:p w:rsidR="001406E9" w:rsidRPr="000C29F0" w:rsidRDefault="004E67BF" w:rsidP="004E67BF">
            <w:pPr>
              <w:pStyle w:val="Listaszerbekezds"/>
              <w:jc w:val="both"/>
              <w:rPr>
                <w:rFonts w:ascii="Verdana" w:eastAsia="MS Mincho" w:hAnsi="Verdana" w:cs="Times New Roman"/>
                <w:b w:val="0"/>
                <w:i/>
                <w:sz w:val="18"/>
                <w:szCs w:val="18"/>
                <w:lang w:val="hu-HU"/>
              </w:rPr>
            </w:pPr>
            <w:r w:rsidRPr="00A53671">
              <w:rPr>
                <w:rFonts w:ascii="Verdana" w:eastAsia="MS Mincho" w:hAnsi="Verdana" w:cs="Times New Roman"/>
                <w:b w:val="0"/>
                <w:i/>
                <w:sz w:val="18"/>
                <w:szCs w:val="18"/>
                <w:u w:val="single"/>
                <w:lang w:val="hu-HU"/>
              </w:rPr>
              <w:t>80. bekezdés</w:t>
            </w:r>
            <w:r w:rsidRPr="00A53671">
              <w:rPr>
                <w:rFonts w:ascii="Verdana" w:eastAsia="MS Mincho" w:hAnsi="Verdana" w:cs="Times New Roman"/>
                <w:b w:val="0"/>
                <w:i/>
                <w:sz w:val="18"/>
                <w:szCs w:val="18"/>
                <w:lang w:val="hu-HU"/>
              </w:rPr>
              <w:t xml:space="preserve">: </w:t>
            </w:r>
            <w:r w:rsidR="00686CF6" w:rsidRPr="00A53671">
              <w:rPr>
                <w:rFonts w:ascii="Verdana" w:eastAsia="MS Mincho" w:hAnsi="Verdana" w:cs="Times New Roman"/>
                <w:b w:val="0"/>
                <w:i/>
                <w:sz w:val="18"/>
                <w:szCs w:val="18"/>
                <w:lang w:val="hu-HU"/>
              </w:rPr>
              <w:t>A vizsgálatok fenti hiányosságainak – különö</w:t>
            </w:r>
            <w:r w:rsidR="00686CF6">
              <w:rPr>
                <w:rFonts w:ascii="Verdana" w:eastAsia="MS Mincho" w:hAnsi="Verdana" w:cs="Times New Roman"/>
                <w:b w:val="0"/>
                <w:i/>
                <w:sz w:val="18"/>
                <w:szCs w:val="18"/>
                <w:lang w:val="hu-HU"/>
              </w:rPr>
              <w:t>s tekintettel</w:t>
            </w:r>
            <w:r w:rsidR="00686CF6" w:rsidRPr="00A53671">
              <w:rPr>
                <w:rFonts w:ascii="Verdana" w:eastAsia="MS Mincho" w:hAnsi="Verdana" w:cs="Times New Roman"/>
                <w:b w:val="0"/>
                <w:i/>
                <w:sz w:val="18"/>
                <w:szCs w:val="18"/>
                <w:lang w:val="hu-HU"/>
              </w:rPr>
              <w:t xml:space="preserve"> a rendfenntartó szervek eseménnyel kapcsolat</w:t>
            </w:r>
            <w:r w:rsidR="00686CF6">
              <w:rPr>
                <w:rFonts w:ascii="Verdana" w:eastAsia="MS Mincho" w:hAnsi="Verdana" w:cs="Times New Roman"/>
                <w:b w:val="0"/>
                <w:i/>
                <w:sz w:val="18"/>
                <w:szCs w:val="18"/>
                <w:lang w:val="hu-HU"/>
              </w:rPr>
              <w:t>os</w:t>
            </w:r>
            <w:r w:rsidR="00686CF6" w:rsidRPr="00A53671">
              <w:rPr>
                <w:rFonts w:ascii="Verdana" w:eastAsia="MS Mincho" w:hAnsi="Verdana" w:cs="Times New Roman"/>
                <w:b w:val="0"/>
                <w:i/>
                <w:sz w:val="18"/>
                <w:szCs w:val="18"/>
                <w:lang w:val="hu-HU"/>
              </w:rPr>
              <w:t xml:space="preserve"> átfogó stratégiájának</w:t>
            </w:r>
            <w:r w:rsidR="00686CF6">
              <w:rPr>
                <w:rFonts w:ascii="Verdana" w:eastAsia="MS Mincho" w:hAnsi="Verdana" w:cs="Times New Roman"/>
                <w:b w:val="0"/>
                <w:i/>
                <w:sz w:val="18"/>
                <w:szCs w:val="18"/>
                <w:lang w:val="hu-HU"/>
              </w:rPr>
              <w:t xml:space="preserve"> a hiányára</w:t>
            </w:r>
            <w:r w:rsidR="00686CF6" w:rsidRPr="00A53671">
              <w:rPr>
                <w:rFonts w:ascii="Verdana" w:eastAsia="MS Mincho" w:hAnsi="Verdana" w:cs="Times New Roman"/>
                <w:b w:val="0"/>
                <w:i/>
                <w:sz w:val="18"/>
                <w:szCs w:val="18"/>
                <w:lang w:val="hu-HU"/>
              </w:rPr>
              <w:t xml:space="preserve"> – az együttes hatása az volt, hogy egy elszórt erőszaktól sem mentes (lásd </w:t>
            </w:r>
            <w:r w:rsidR="00686CF6">
              <w:rPr>
                <w:rFonts w:ascii="Verdana" w:eastAsia="MS Mincho" w:hAnsi="Verdana" w:cs="Times New Roman"/>
                <w:b w:val="0"/>
                <w:i/>
                <w:sz w:val="18"/>
                <w:szCs w:val="18"/>
                <w:lang w:val="hu-HU"/>
              </w:rPr>
              <w:t xml:space="preserve">a </w:t>
            </w:r>
            <w:r w:rsidR="00686CF6" w:rsidRPr="00A53671">
              <w:rPr>
                <w:rFonts w:ascii="Verdana" w:eastAsia="MS Mincho" w:hAnsi="Verdana" w:cs="Times New Roman"/>
                <w:b w:val="0"/>
                <w:i/>
                <w:sz w:val="18"/>
                <w:szCs w:val="18"/>
                <w:lang w:val="hu-HU"/>
              </w:rPr>
              <w:t>11-12. és a 25-26. bekezdést), nyíltan rasszista tüntetés gyakorlatilag jogi következmények nélkül maradt</w:t>
            </w:r>
            <w:r w:rsidR="00686CF6">
              <w:rPr>
                <w:rFonts w:ascii="Verdana" w:eastAsia="MS Mincho" w:hAnsi="Verdana" w:cs="Times New Roman"/>
                <w:b w:val="0"/>
                <w:i/>
                <w:sz w:val="18"/>
                <w:szCs w:val="18"/>
                <w:lang w:val="hu-HU"/>
              </w:rPr>
              <w:t>,</w:t>
            </w:r>
            <w:r w:rsidR="00686CF6" w:rsidRPr="00A53671">
              <w:rPr>
                <w:rFonts w:ascii="Verdana" w:eastAsia="MS Mincho" w:hAnsi="Verdana" w:cs="Times New Roman"/>
                <w:b w:val="0"/>
                <w:i/>
                <w:sz w:val="18"/>
                <w:szCs w:val="18"/>
                <w:lang w:val="hu-HU"/>
              </w:rPr>
              <w:t xml:space="preserve"> és a kérelmezők számára nem biztosították a lelki épséghez való joguk előírt védelmét. </w:t>
            </w:r>
            <w:r w:rsidRPr="00A53671">
              <w:rPr>
                <w:rFonts w:ascii="Verdana" w:eastAsia="MS Mincho" w:hAnsi="Verdana" w:cs="Times New Roman"/>
                <w:b w:val="0"/>
                <w:i/>
                <w:sz w:val="18"/>
                <w:szCs w:val="18"/>
                <w:lang w:val="hu-HU"/>
              </w:rPr>
              <w:t xml:space="preserve">Nem részesülhettek a roma közösség, köztük a kérelmezők megfélemlítését félkatonai jellegű felvonulással, szóbeli fenyegetésekkel és faji alapú szegregációt támogató beszédekkel megvalósító, nyíltan romaellenes demonstráció ellen védelmet biztosító jogi keretrendszer végrehajtásának előnyeiből sem. </w:t>
            </w:r>
            <w:r w:rsidRPr="004E67BF">
              <w:rPr>
                <w:rFonts w:ascii="Verdana" w:eastAsia="MS Mincho" w:hAnsi="Verdana" w:cs="Times New Roman"/>
                <w:b w:val="0"/>
                <w:i/>
                <w:sz w:val="18"/>
                <w:szCs w:val="18"/>
                <w:lang w:val="hu-HU"/>
              </w:rPr>
              <w:t>A Bíróság abbeli aggodalmának ad hangot, hogy ezt a nyilvánosság úgy értékelheti, mintha az állam legitimálná és/vagy tolerálná az ilyen viselkedésformákat.</w:t>
            </w:r>
          </w:p>
        </w:tc>
      </w:tr>
    </w:tbl>
    <w:p w:rsidR="00401E38" w:rsidRPr="001406E9" w:rsidRDefault="00401E38" w:rsidP="004435C2">
      <w:pPr>
        <w:jc w:val="both"/>
        <w:rPr>
          <w:rStyle w:val="Finomkiemels"/>
          <w:rFonts w:ascii="Times New Roman" w:hAnsi="Times New Roman" w:cs="Times New Roman"/>
          <w:i w:val="0"/>
          <w:szCs w:val="24"/>
          <w:lang w:val="en-GB"/>
        </w:rPr>
      </w:pPr>
    </w:p>
    <w:p w:rsidR="004435C2" w:rsidRPr="00653AE5" w:rsidRDefault="004435C2" w:rsidP="004435C2">
      <w:pPr>
        <w:pStyle w:val="Cmsor2"/>
        <w:rPr>
          <w:rStyle w:val="Finomkiemels"/>
          <w:rFonts w:ascii="Times New Roman" w:hAnsi="Times New Roman" w:cs="Times New Roman"/>
          <w:i w:val="0"/>
          <w:color w:val="auto"/>
          <w:szCs w:val="24"/>
        </w:rPr>
      </w:pPr>
      <w:bookmarkStart w:id="9" w:name="_Toc515458778"/>
      <w:r w:rsidRPr="00653AE5">
        <w:rPr>
          <w:lang w:eastAsia="en-US"/>
        </w:rPr>
        <w:t xml:space="preserve">3.1 </w:t>
      </w:r>
      <w:r w:rsidR="00D034F7" w:rsidRPr="00653AE5">
        <w:rPr>
          <w:lang w:eastAsia="en-US"/>
        </w:rPr>
        <w:t>Kötelezettségek</w:t>
      </w:r>
      <w:bookmarkEnd w:id="9"/>
    </w:p>
    <w:p w:rsidR="00D034F7" w:rsidRPr="00653AE5" w:rsidRDefault="00D034F7" w:rsidP="001406E9">
      <w:pPr>
        <w:jc w:val="both"/>
        <w:rPr>
          <w:rFonts w:ascii="Times New Roman" w:hAnsi="Times New Roman" w:cs="Times New Roman"/>
          <w:iCs/>
          <w:szCs w:val="24"/>
        </w:rPr>
      </w:pPr>
    </w:p>
    <w:p w:rsidR="001406E9" w:rsidRPr="00653AE5" w:rsidRDefault="00C76DF4" w:rsidP="001406E9">
      <w:pPr>
        <w:jc w:val="both"/>
        <w:rPr>
          <w:rFonts w:ascii="Times New Roman" w:hAnsi="Times New Roman" w:cs="Times New Roman"/>
          <w:iCs/>
          <w:szCs w:val="24"/>
          <w:u w:val="single"/>
        </w:rPr>
      </w:pPr>
      <w:r>
        <w:rPr>
          <w:rFonts w:ascii="Times New Roman" w:hAnsi="Times New Roman" w:cs="Times New Roman"/>
          <w:iCs/>
          <w:szCs w:val="24"/>
          <w:u w:val="single"/>
        </w:rPr>
        <w:t>Hatékony nyomozás</w:t>
      </w:r>
      <w:r w:rsidR="00D034F7" w:rsidRPr="00653AE5">
        <w:rPr>
          <w:rFonts w:ascii="Times New Roman" w:hAnsi="Times New Roman" w:cs="Times New Roman"/>
          <w:iCs/>
          <w:szCs w:val="24"/>
          <w:u w:val="single"/>
        </w:rPr>
        <w:t xml:space="preserve"> és gyors elj</w:t>
      </w:r>
      <w:r>
        <w:rPr>
          <w:rFonts w:ascii="Times New Roman" w:hAnsi="Times New Roman" w:cs="Times New Roman"/>
          <w:iCs/>
          <w:szCs w:val="24"/>
          <w:u w:val="single"/>
        </w:rPr>
        <w:t>á</w:t>
      </w:r>
      <w:r w:rsidR="00D034F7" w:rsidRPr="00653AE5">
        <w:rPr>
          <w:rFonts w:ascii="Times New Roman" w:hAnsi="Times New Roman" w:cs="Times New Roman"/>
          <w:iCs/>
          <w:szCs w:val="24"/>
          <w:u w:val="single"/>
        </w:rPr>
        <w:t xml:space="preserve">rás lefolytatására vonatkozó kötelezettség: </w:t>
      </w:r>
    </w:p>
    <w:p w:rsidR="001406E9" w:rsidRPr="00653AE5" w:rsidRDefault="001406E9" w:rsidP="001406E9">
      <w:pPr>
        <w:pStyle w:val="Listaszerbekezds"/>
        <w:numPr>
          <w:ilvl w:val="0"/>
          <w:numId w:val="12"/>
        </w:numPr>
        <w:rPr>
          <w:rFonts w:ascii="Times New Roman" w:hAnsi="Times New Roman" w:cs="Times New Roman"/>
          <w:iCs/>
          <w:szCs w:val="24"/>
        </w:rPr>
      </w:pPr>
      <w:proofErr w:type="spellStart"/>
      <w:r w:rsidRPr="00653AE5">
        <w:rPr>
          <w:rFonts w:ascii="Times New Roman" w:hAnsi="Times New Roman" w:cs="Times New Roman"/>
          <w:iCs/>
          <w:szCs w:val="24"/>
        </w:rPr>
        <w:t>Nachova</w:t>
      </w:r>
      <w:proofErr w:type="spellEnd"/>
      <w:r w:rsidR="00C76DF4">
        <w:rPr>
          <w:rFonts w:ascii="Times New Roman" w:hAnsi="Times New Roman" w:cs="Times New Roman"/>
          <w:iCs/>
          <w:szCs w:val="24"/>
        </w:rPr>
        <w:t xml:space="preserve"> </w:t>
      </w:r>
      <w:r w:rsidR="00D034F7" w:rsidRPr="00653AE5">
        <w:rPr>
          <w:rFonts w:ascii="Times New Roman" w:hAnsi="Times New Roman" w:cs="Times New Roman"/>
          <w:iCs/>
          <w:szCs w:val="24"/>
        </w:rPr>
        <w:t>és társai kontra</w:t>
      </w:r>
      <w:r w:rsidRPr="00653AE5">
        <w:rPr>
          <w:rFonts w:ascii="Times New Roman" w:hAnsi="Times New Roman" w:cs="Times New Roman"/>
          <w:iCs/>
          <w:szCs w:val="24"/>
        </w:rPr>
        <w:t xml:space="preserve"> Bulg</w:t>
      </w:r>
      <w:r w:rsidR="00D034F7" w:rsidRPr="00653AE5">
        <w:rPr>
          <w:rFonts w:ascii="Times New Roman" w:hAnsi="Times New Roman" w:cs="Times New Roman"/>
          <w:iCs/>
          <w:szCs w:val="24"/>
        </w:rPr>
        <w:t>á</w:t>
      </w:r>
      <w:r w:rsidRPr="00653AE5">
        <w:rPr>
          <w:rFonts w:ascii="Times New Roman" w:hAnsi="Times New Roman" w:cs="Times New Roman"/>
          <w:iCs/>
          <w:szCs w:val="24"/>
        </w:rPr>
        <w:t>ria</w:t>
      </w:r>
      <w:r w:rsidR="00C76DF4">
        <w:rPr>
          <w:rFonts w:ascii="Times New Roman" w:hAnsi="Times New Roman" w:cs="Times New Roman"/>
          <w:iCs/>
          <w:szCs w:val="24"/>
        </w:rPr>
        <w:t xml:space="preserve"> (</w:t>
      </w:r>
      <w:hyperlink r:id="rId16" w:history="1">
        <w:r w:rsidR="00401E38" w:rsidRPr="00653AE5">
          <w:rPr>
            <w:rStyle w:val="Hiperhivatkozs"/>
            <w:rFonts w:ascii="Times New Roman" w:hAnsi="Times New Roman" w:cs="Times New Roman"/>
            <w:iCs/>
            <w:szCs w:val="24"/>
          </w:rPr>
          <w:t>link</w:t>
        </w:r>
      </w:hyperlink>
      <w:r w:rsidR="00C76DF4">
        <w:t>)</w:t>
      </w:r>
    </w:p>
    <w:p w:rsidR="001406E9" w:rsidRPr="00653AE5" w:rsidRDefault="001406E9" w:rsidP="001406E9">
      <w:pPr>
        <w:pStyle w:val="Listaszerbekezds"/>
        <w:numPr>
          <w:ilvl w:val="0"/>
          <w:numId w:val="12"/>
        </w:numPr>
        <w:rPr>
          <w:rFonts w:ascii="Times New Roman" w:hAnsi="Times New Roman" w:cs="Times New Roman"/>
          <w:iCs/>
          <w:szCs w:val="24"/>
        </w:rPr>
      </w:pPr>
      <w:r w:rsidRPr="00653AE5">
        <w:rPr>
          <w:rFonts w:ascii="Times New Roman" w:hAnsi="Times New Roman" w:cs="Times New Roman"/>
          <w:iCs/>
          <w:szCs w:val="24"/>
        </w:rPr>
        <w:lastRenderedPageBreak/>
        <w:t xml:space="preserve">Király </w:t>
      </w:r>
      <w:r w:rsidR="00D034F7" w:rsidRPr="00653AE5">
        <w:rPr>
          <w:rFonts w:ascii="Times New Roman" w:hAnsi="Times New Roman" w:cs="Times New Roman"/>
          <w:iCs/>
          <w:szCs w:val="24"/>
        </w:rPr>
        <w:t>és</w:t>
      </w:r>
      <w:r w:rsidRPr="00653AE5">
        <w:rPr>
          <w:rFonts w:ascii="Times New Roman" w:hAnsi="Times New Roman" w:cs="Times New Roman"/>
          <w:iCs/>
          <w:szCs w:val="24"/>
        </w:rPr>
        <w:t xml:space="preserve"> Dömötör </w:t>
      </w:r>
      <w:r w:rsidR="00D034F7" w:rsidRPr="00653AE5">
        <w:rPr>
          <w:rFonts w:ascii="Times New Roman" w:hAnsi="Times New Roman" w:cs="Times New Roman"/>
          <w:iCs/>
          <w:szCs w:val="24"/>
        </w:rPr>
        <w:t>kontra Magyarország</w:t>
      </w:r>
      <w:r w:rsidR="00C76DF4">
        <w:rPr>
          <w:rFonts w:ascii="Times New Roman" w:hAnsi="Times New Roman" w:cs="Times New Roman"/>
          <w:iCs/>
          <w:szCs w:val="24"/>
        </w:rPr>
        <w:t xml:space="preserve"> (</w:t>
      </w:r>
      <w:hyperlink r:id="rId17" w:history="1">
        <w:r w:rsidR="008541CA" w:rsidRPr="00653AE5">
          <w:rPr>
            <w:rStyle w:val="Hiperhivatkozs"/>
            <w:rFonts w:ascii="Times New Roman" w:hAnsi="Times New Roman" w:cs="Times New Roman"/>
            <w:iCs/>
            <w:szCs w:val="24"/>
          </w:rPr>
          <w:t>link</w:t>
        </w:r>
      </w:hyperlink>
      <w:r w:rsidR="00C76DF4">
        <w:t>)</w:t>
      </w:r>
    </w:p>
    <w:p w:rsidR="001406E9" w:rsidRPr="00653AE5" w:rsidRDefault="001406E9" w:rsidP="001406E9">
      <w:pPr>
        <w:jc w:val="both"/>
        <w:rPr>
          <w:rFonts w:ascii="Times New Roman" w:hAnsi="Times New Roman" w:cs="Times New Roman"/>
          <w:iCs/>
          <w:szCs w:val="24"/>
        </w:rPr>
      </w:pPr>
    </w:p>
    <w:p w:rsidR="001406E9" w:rsidRPr="00653AE5" w:rsidRDefault="00D034F7" w:rsidP="001406E9">
      <w:pPr>
        <w:jc w:val="both"/>
        <w:rPr>
          <w:rFonts w:ascii="Times New Roman" w:hAnsi="Times New Roman" w:cs="Times New Roman"/>
          <w:iCs/>
          <w:szCs w:val="24"/>
          <w:u w:val="single"/>
        </w:rPr>
      </w:pPr>
      <w:r w:rsidRPr="00653AE5">
        <w:rPr>
          <w:rFonts w:ascii="Times New Roman" w:hAnsi="Times New Roman" w:cs="Times New Roman"/>
          <w:iCs/>
          <w:szCs w:val="24"/>
          <w:u w:val="single"/>
        </w:rPr>
        <w:t>A bizonyítékok elfogulatlan értékelése</w:t>
      </w:r>
      <w:r w:rsidR="001406E9" w:rsidRPr="00653AE5">
        <w:rPr>
          <w:rFonts w:ascii="Times New Roman" w:hAnsi="Times New Roman" w:cs="Times New Roman"/>
          <w:iCs/>
          <w:szCs w:val="24"/>
          <w:u w:val="single"/>
        </w:rPr>
        <w:t>:</w:t>
      </w:r>
    </w:p>
    <w:p w:rsidR="001406E9" w:rsidRPr="00653AE5" w:rsidRDefault="001406E9" w:rsidP="001406E9">
      <w:pPr>
        <w:pStyle w:val="Listaszerbekezds"/>
        <w:numPr>
          <w:ilvl w:val="0"/>
          <w:numId w:val="13"/>
        </w:numPr>
        <w:jc w:val="both"/>
        <w:rPr>
          <w:rFonts w:ascii="Times New Roman" w:hAnsi="Times New Roman" w:cs="Times New Roman"/>
          <w:iCs/>
          <w:szCs w:val="24"/>
        </w:rPr>
      </w:pPr>
      <w:proofErr w:type="spellStart"/>
      <w:r w:rsidRPr="00653AE5">
        <w:rPr>
          <w:rFonts w:ascii="Times New Roman" w:hAnsi="Times New Roman" w:cs="Times New Roman"/>
          <w:iCs/>
          <w:szCs w:val="24"/>
        </w:rPr>
        <w:t>Stoica</w:t>
      </w:r>
      <w:proofErr w:type="spellEnd"/>
      <w:r w:rsidR="00C76DF4">
        <w:rPr>
          <w:rFonts w:ascii="Times New Roman" w:hAnsi="Times New Roman" w:cs="Times New Roman"/>
          <w:iCs/>
          <w:szCs w:val="24"/>
        </w:rPr>
        <w:t xml:space="preserve"> </w:t>
      </w:r>
      <w:r w:rsidR="00D034F7" w:rsidRPr="00653AE5">
        <w:rPr>
          <w:rFonts w:ascii="Times New Roman" w:hAnsi="Times New Roman" w:cs="Times New Roman"/>
          <w:iCs/>
          <w:szCs w:val="24"/>
        </w:rPr>
        <w:t>kontra</w:t>
      </w:r>
      <w:r w:rsidRPr="00653AE5">
        <w:rPr>
          <w:rFonts w:ascii="Times New Roman" w:hAnsi="Times New Roman" w:cs="Times New Roman"/>
          <w:iCs/>
          <w:szCs w:val="24"/>
        </w:rPr>
        <w:t xml:space="preserve"> Rom</w:t>
      </w:r>
      <w:r w:rsidR="00D034F7" w:rsidRPr="00653AE5">
        <w:rPr>
          <w:rFonts w:ascii="Times New Roman" w:hAnsi="Times New Roman" w:cs="Times New Roman"/>
          <w:iCs/>
          <w:szCs w:val="24"/>
        </w:rPr>
        <w:t>á</w:t>
      </w:r>
      <w:r w:rsidRPr="00653AE5">
        <w:rPr>
          <w:rFonts w:ascii="Times New Roman" w:hAnsi="Times New Roman" w:cs="Times New Roman"/>
          <w:iCs/>
          <w:szCs w:val="24"/>
        </w:rPr>
        <w:t xml:space="preserve">nia </w:t>
      </w:r>
      <w:r w:rsidR="00C76DF4">
        <w:rPr>
          <w:rFonts w:ascii="Times New Roman" w:hAnsi="Times New Roman" w:cs="Times New Roman"/>
          <w:iCs/>
          <w:szCs w:val="24"/>
        </w:rPr>
        <w:t>(</w:t>
      </w:r>
      <w:hyperlink r:id="rId18" w:history="1">
        <w:r w:rsidR="00401E38" w:rsidRPr="00653AE5">
          <w:rPr>
            <w:rStyle w:val="Hiperhivatkozs"/>
            <w:rFonts w:ascii="Times New Roman" w:hAnsi="Times New Roman" w:cs="Times New Roman"/>
            <w:iCs/>
            <w:szCs w:val="24"/>
          </w:rPr>
          <w:t>link</w:t>
        </w:r>
      </w:hyperlink>
      <w:r w:rsidR="00C76DF4">
        <w:t>)</w:t>
      </w:r>
    </w:p>
    <w:p w:rsidR="001406E9" w:rsidRPr="00653AE5" w:rsidRDefault="001406E9" w:rsidP="00401E38">
      <w:pPr>
        <w:pStyle w:val="Listaszerbekezds"/>
        <w:numPr>
          <w:ilvl w:val="0"/>
          <w:numId w:val="13"/>
        </w:numPr>
        <w:rPr>
          <w:rFonts w:ascii="Times New Roman" w:hAnsi="Times New Roman" w:cs="Times New Roman"/>
          <w:iCs/>
          <w:szCs w:val="24"/>
        </w:rPr>
      </w:pPr>
      <w:proofErr w:type="spellStart"/>
      <w:r w:rsidRPr="00653AE5">
        <w:rPr>
          <w:rFonts w:ascii="Times New Roman" w:hAnsi="Times New Roman" w:cs="Times New Roman"/>
          <w:iCs/>
          <w:szCs w:val="24"/>
        </w:rPr>
        <w:t>Milanovic</w:t>
      </w:r>
      <w:proofErr w:type="spellEnd"/>
      <w:r w:rsidR="00C76DF4">
        <w:rPr>
          <w:rFonts w:ascii="Times New Roman" w:hAnsi="Times New Roman" w:cs="Times New Roman"/>
          <w:iCs/>
          <w:szCs w:val="24"/>
        </w:rPr>
        <w:t xml:space="preserve"> </w:t>
      </w:r>
      <w:r w:rsidR="00D034F7" w:rsidRPr="00653AE5">
        <w:rPr>
          <w:rFonts w:ascii="Times New Roman" w:hAnsi="Times New Roman" w:cs="Times New Roman"/>
          <w:iCs/>
          <w:szCs w:val="24"/>
        </w:rPr>
        <w:t>kontra</w:t>
      </w:r>
      <w:r w:rsidRPr="00653AE5">
        <w:rPr>
          <w:rFonts w:ascii="Times New Roman" w:hAnsi="Times New Roman" w:cs="Times New Roman"/>
          <w:iCs/>
          <w:szCs w:val="24"/>
        </w:rPr>
        <w:t xml:space="preserve"> S</w:t>
      </w:r>
      <w:r w:rsidR="00D034F7" w:rsidRPr="00653AE5">
        <w:rPr>
          <w:rFonts w:ascii="Times New Roman" w:hAnsi="Times New Roman" w:cs="Times New Roman"/>
          <w:iCs/>
          <w:szCs w:val="24"/>
        </w:rPr>
        <w:t>z</w:t>
      </w:r>
      <w:r w:rsidRPr="00653AE5">
        <w:rPr>
          <w:rFonts w:ascii="Times New Roman" w:hAnsi="Times New Roman" w:cs="Times New Roman"/>
          <w:iCs/>
          <w:szCs w:val="24"/>
        </w:rPr>
        <w:t>erbia</w:t>
      </w:r>
      <w:r w:rsidR="00C76DF4">
        <w:rPr>
          <w:rFonts w:ascii="Times New Roman" w:hAnsi="Times New Roman" w:cs="Times New Roman"/>
          <w:iCs/>
          <w:szCs w:val="24"/>
        </w:rPr>
        <w:t xml:space="preserve"> (</w:t>
      </w:r>
      <w:hyperlink r:id="rId19" w:history="1">
        <w:r w:rsidR="00401E38" w:rsidRPr="00653AE5">
          <w:rPr>
            <w:rStyle w:val="Hiperhivatkozs"/>
            <w:rFonts w:ascii="Times New Roman" w:hAnsi="Times New Roman" w:cs="Times New Roman"/>
            <w:iCs/>
            <w:szCs w:val="24"/>
          </w:rPr>
          <w:t>link</w:t>
        </w:r>
      </w:hyperlink>
      <w:r w:rsidR="00C76DF4">
        <w:t>)</w:t>
      </w:r>
    </w:p>
    <w:p w:rsidR="00401E38" w:rsidRPr="00653AE5" w:rsidRDefault="00401E38" w:rsidP="004435C2">
      <w:pPr>
        <w:jc w:val="both"/>
        <w:rPr>
          <w:rFonts w:ascii="Times New Roman" w:hAnsi="Times New Roman" w:cs="Times New Roman"/>
          <w:iCs/>
          <w:szCs w:val="24"/>
        </w:rPr>
      </w:pPr>
    </w:p>
    <w:p w:rsidR="001406E9" w:rsidRPr="00653AE5" w:rsidRDefault="00D034F7" w:rsidP="004435C2">
      <w:pPr>
        <w:jc w:val="both"/>
        <w:rPr>
          <w:rFonts w:ascii="Times New Roman" w:hAnsi="Times New Roman" w:cs="Times New Roman"/>
          <w:iCs/>
          <w:szCs w:val="24"/>
          <w:u w:val="single"/>
        </w:rPr>
      </w:pPr>
      <w:r w:rsidRPr="00653AE5">
        <w:rPr>
          <w:rFonts w:ascii="Times New Roman" w:hAnsi="Times New Roman" w:cs="Times New Roman"/>
          <w:iCs/>
          <w:szCs w:val="24"/>
          <w:u w:val="single"/>
        </w:rPr>
        <w:t xml:space="preserve">Az </w:t>
      </w:r>
      <w:r w:rsidR="00C76DF4">
        <w:rPr>
          <w:rFonts w:ascii="Times New Roman" w:hAnsi="Times New Roman" w:cs="Times New Roman"/>
          <w:iCs/>
          <w:szCs w:val="24"/>
          <w:u w:val="single"/>
        </w:rPr>
        <w:t>előítéletes</w:t>
      </w:r>
      <w:r w:rsidR="00C76DF4" w:rsidRPr="00653AE5">
        <w:rPr>
          <w:rFonts w:ascii="Times New Roman" w:hAnsi="Times New Roman" w:cs="Times New Roman"/>
          <w:iCs/>
          <w:szCs w:val="24"/>
          <w:u w:val="single"/>
        </w:rPr>
        <w:t xml:space="preserve"> </w:t>
      </w:r>
      <w:r w:rsidRPr="00653AE5">
        <w:rPr>
          <w:rFonts w:ascii="Times New Roman" w:hAnsi="Times New Roman" w:cs="Times New Roman"/>
          <w:iCs/>
          <w:szCs w:val="24"/>
          <w:u w:val="single"/>
        </w:rPr>
        <w:t>motiváció feltárásának kötelezettsége</w:t>
      </w:r>
      <w:r w:rsidR="00401E38" w:rsidRPr="00653AE5">
        <w:rPr>
          <w:rFonts w:ascii="Times New Roman" w:hAnsi="Times New Roman" w:cs="Times New Roman"/>
          <w:iCs/>
          <w:szCs w:val="24"/>
          <w:u w:val="single"/>
        </w:rPr>
        <w:t>:</w:t>
      </w:r>
    </w:p>
    <w:p w:rsidR="00401E38" w:rsidRPr="00653AE5" w:rsidRDefault="00D034F7" w:rsidP="00401E38">
      <w:pPr>
        <w:pStyle w:val="Listaszerbekezds"/>
        <w:numPr>
          <w:ilvl w:val="0"/>
          <w:numId w:val="15"/>
        </w:numPr>
        <w:jc w:val="both"/>
        <w:rPr>
          <w:rFonts w:ascii="Times New Roman" w:hAnsi="Times New Roman" w:cs="Times New Roman"/>
          <w:iCs/>
          <w:szCs w:val="24"/>
        </w:rPr>
      </w:pPr>
      <w:r w:rsidRPr="00653AE5">
        <w:rPr>
          <w:rFonts w:ascii="Times New Roman" w:hAnsi="Times New Roman" w:cs="Times New Roman"/>
          <w:iCs/>
          <w:szCs w:val="24"/>
        </w:rPr>
        <w:t>etnikai</w:t>
      </w:r>
      <w:r w:rsidR="00401E38" w:rsidRPr="00653AE5">
        <w:rPr>
          <w:rFonts w:ascii="Times New Roman" w:hAnsi="Times New Roman" w:cs="Times New Roman"/>
          <w:iCs/>
          <w:szCs w:val="24"/>
        </w:rPr>
        <w:t xml:space="preserve">: </w:t>
      </w:r>
      <w:r w:rsidRPr="00653AE5">
        <w:rPr>
          <w:rFonts w:ascii="Times New Roman" w:hAnsi="Times New Roman" w:cs="Times New Roman"/>
          <w:iCs/>
          <w:szCs w:val="24"/>
        </w:rPr>
        <w:t xml:space="preserve">pl. </w:t>
      </w:r>
      <w:proofErr w:type="spellStart"/>
      <w:r w:rsidR="00401E38" w:rsidRPr="00653AE5">
        <w:rPr>
          <w:rFonts w:ascii="Times New Roman" w:hAnsi="Times New Roman" w:cs="Times New Roman"/>
          <w:iCs/>
          <w:szCs w:val="24"/>
        </w:rPr>
        <w:t>Secic</w:t>
      </w:r>
      <w:proofErr w:type="spellEnd"/>
      <w:r w:rsidR="00092011">
        <w:rPr>
          <w:rFonts w:ascii="Times New Roman" w:hAnsi="Times New Roman" w:cs="Times New Roman"/>
          <w:iCs/>
          <w:szCs w:val="24"/>
        </w:rPr>
        <w:t xml:space="preserve"> </w:t>
      </w:r>
      <w:r w:rsidRPr="00653AE5">
        <w:rPr>
          <w:rFonts w:ascii="Times New Roman" w:hAnsi="Times New Roman" w:cs="Times New Roman"/>
          <w:iCs/>
          <w:szCs w:val="24"/>
        </w:rPr>
        <w:t>kontra Horvátország</w:t>
      </w:r>
      <w:r w:rsidR="00092011">
        <w:rPr>
          <w:rFonts w:ascii="Times New Roman" w:hAnsi="Times New Roman" w:cs="Times New Roman"/>
          <w:iCs/>
          <w:szCs w:val="24"/>
        </w:rPr>
        <w:t xml:space="preserve"> (</w:t>
      </w:r>
      <w:hyperlink r:id="rId20" w:anchor="{&quot;fulltext&quot;:[&quot;Secic v Croatia&quot;],&quot;itemid&quot;:[&quot;003-2012842-2123404&quot;]}" w:history="1">
        <w:r w:rsidR="00B252B4" w:rsidRPr="00653AE5">
          <w:rPr>
            <w:rStyle w:val="Hiperhivatkozs"/>
            <w:rFonts w:ascii="Times New Roman" w:hAnsi="Times New Roman" w:cs="Times New Roman"/>
            <w:iCs/>
            <w:szCs w:val="24"/>
          </w:rPr>
          <w:t>link</w:t>
        </w:r>
      </w:hyperlink>
      <w:r w:rsidR="00092011">
        <w:t>)</w:t>
      </w:r>
    </w:p>
    <w:p w:rsidR="00401E38" w:rsidRPr="00653AE5" w:rsidRDefault="00401E38" w:rsidP="00401E38">
      <w:pPr>
        <w:pStyle w:val="Listaszerbekezds"/>
        <w:numPr>
          <w:ilvl w:val="0"/>
          <w:numId w:val="15"/>
        </w:numPr>
        <w:jc w:val="both"/>
        <w:rPr>
          <w:rFonts w:ascii="Times New Roman" w:hAnsi="Times New Roman" w:cs="Times New Roman"/>
          <w:iCs/>
          <w:szCs w:val="24"/>
        </w:rPr>
      </w:pPr>
      <w:r w:rsidRPr="00653AE5">
        <w:rPr>
          <w:rFonts w:ascii="Times New Roman" w:hAnsi="Times New Roman" w:cs="Times New Roman"/>
          <w:iCs/>
          <w:szCs w:val="24"/>
        </w:rPr>
        <w:t>R</w:t>
      </w:r>
      <w:proofErr w:type="gramStart"/>
      <w:r w:rsidRPr="00653AE5">
        <w:rPr>
          <w:rFonts w:ascii="Times New Roman" w:hAnsi="Times New Roman" w:cs="Times New Roman"/>
          <w:iCs/>
          <w:szCs w:val="24"/>
        </w:rPr>
        <w:t>.B.</w:t>
      </w:r>
      <w:proofErr w:type="gramEnd"/>
      <w:r w:rsidR="00D034F7" w:rsidRPr="00653AE5">
        <w:rPr>
          <w:rFonts w:ascii="Times New Roman" w:hAnsi="Times New Roman" w:cs="Times New Roman"/>
          <w:iCs/>
          <w:szCs w:val="24"/>
        </w:rPr>
        <w:t xml:space="preserve"> kontra Magyarország</w:t>
      </w:r>
      <w:r w:rsidR="00092011">
        <w:rPr>
          <w:rFonts w:ascii="Times New Roman" w:hAnsi="Times New Roman" w:cs="Times New Roman"/>
          <w:iCs/>
          <w:szCs w:val="24"/>
        </w:rPr>
        <w:t xml:space="preserve"> (</w:t>
      </w:r>
      <w:hyperlink r:id="rId21" w:anchor="{&quot;fulltext&quot;:[&quot;R.B. v Hungary&quot;],&quot;documentcollectionid2&quot;:[&quot;GRANDCHAMBER&quot;,&quot;CHAMBER&quot;],&quot;itemid&quot;:[&quot;001-161983&quot;]}" w:history="1">
        <w:r w:rsidR="00B252B4" w:rsidRPr="00653AE5">
          <w:rPr>
            <w:rStyle w:val="Hiperhivatkozs"/>
            <w:rFonts w:ascii="Times New Roman" w:hAnsi="Times New Roman" w:cs="Times New Roman"/>
            <w:iCs/>
            <w:szCs w:val="24"/>
          </w:rPr>
          <w:t>link</w:t>
        </w:r>
      </w:hyperlink>
      <w:r w:rsidR="00092011">
        <w:t>)</w:t>
      </w:r>
    </w:p>
    <w:p w:rsidR="00401E38" w:rsidRPr="00653AE5" w:rsidRDefault="00D034F7" w:rsidP="00401E38">
      <w:pPr>
        <w:pStyle w:val="Listaszerbekezds"/>
        <w:numPr>
          <w:ilvl w:val="0"/>
          <w:numId w:val="15"/>
        </w:numPr>
        <w:jc w:val="both"/>
        <w:rPr>
          <w:rFonts w:ascii="Times New Roman" w:hAnsi="Times New Roman" w:cs="Times New Roman"/>
          <w:iCs/>
          <w:szCs w:val="24"/>
        </w:rPr>
      </w:pPr>
      <w:r w:rsidRPr="00653AE5">
        <w:rPr>
          <w:rFonts w:ascii="Times New Roman" w:hAnsi="Times New Roman" w:cs="Times New Roman"/>
          <w:iCs/>
          <w:szCs w:val="24"/>
        </w:rPr>
        <w:t>vallási kötődés</w:t>
      </w:r>
      <w:r w:rsidR="00401E38" w:rsidRPr="00653AE5">
        <w:rPr>
          <w:rFonts w:ascii="Times New Roman" w:hAnsi="Times New Roman" w:cs="Times New Roman"/>
          <w:iCs/>
          <w:szCs w:val="24"/>
        </w:rPr>
        <w:t xml:space="preserve">: </w:t>
      </w:r>
      <w:r w:rsidRPr="00653AE5">
        <w:rPr>
          <w:rFonts w:ascii="Times New Roman" w:hAnsi="Times New Roman" w:cs="Times New Roman"/>
          <w:iCs/>
          <w:szCs w:val="24"/>
        </w:rPr>
        <w:t xml:space="preserve">pl. </w:t>
      </w:r>
      <w:proofErr w:type="spellStart"/>
      <w:r w:rsidR="00401E38" w:rsidRPr="00653AE5">
        <w:rPr>
          <w:rFonts w:ascii="Times New Roman" w:hAnsi="Times New Roman" w:cs="Times New Roman"/>
          <w:iCs/>
          <w:szCs w:val="24"/>
        </w:rPr>
        <w:t>Begheluri</w:t>
      </w:r>
      <w:proofErr w:type="spellEnd"/>
      <w:r w:rsidR="00092011">
        <w:rPr>
          <w:rFonts w:ascii="Times New Roman" w:hAnsi="Times New Roman" w:cs="Times New Roman"/>
          <w:iCs/>
          <w:szCs w:val="24"/>
        </w:rPr>
        <w:t xml:space="preserve"> </w:t>
      </w:r>
      <w:r w:rsidRPr="00653AE5">
        <w:rPr>
          <w:rFonts w:ascii="Times New Roman" w:hAnsi="Times New Roman" w:cs="Times New Roman"/>
          <w:iCs/>
          <w:szCs w:val="24"/>
        </w:rPr>
        <w:t>kontra Grúzia</w:t>
      </w:r>
      <w:r w:rsidR="00092011">
        <w:rPr>
          <w:rFonts w:ascii="Times New Roman" w:hAnsi="Times New Roman" w:cs="Times New Roman"/>
          <w:iCs/>
          <w:szCs w:val="24"/>
        </w:rPr>
        <w:t xml:space="preserve"> (</w:t>
      </w:r>
      <w:hyperlink r:id="rId22" w:history="1">
        <w:r w:rsidR="00401E38" w:rsidRPr="00653AE5">
          <w:rPr>
            <w:rStyle w:val="Hiperhivatkozs"/>
            <w:rFonts w:ascii="Times New Roman" w:hAnsi="Times New Roman" w:cs="Times New Roman"/>
            <w:iCs/>
            <w:szCs w:val="24"/>
          </w:rPr>
          <w:t>link</w:t>
        </w:r>
      </w:hyperlink>
      <w:r w:rsidR="00092011">
        <w:t>)</w:t>
      </w:r>
    </w:p>
    <w:p w:rsidR="00401E38" w:rsidRPr="00653AE5" w:rsidRDefault="00D034F7" w:rsidP="00401E38">
      <w:pPr>
        <w:pStyle w:val="Listaszerbekezds"/>
        <w:numPr>
          <w:ilvl w:val="0"/>
          <w:numId w:val="15"/>
        </w:numPr>
        <w:jc w:val="both"/>
        <w:rPr>
          <w:rFonts w:ascii="Times New Roman" w:hAnsi="Times New Roman" w:cs="Times New Roman"/>
          <w:iCs/>
          <w:szCs w:val="24"/>
        </w:rPr>
      </w:pPr>
      <w:r w:rsidRPr="00653AE5">
        <w:rPr>
          <w:rFonts w:ascii="Times New Roman" w:hAnsi="Times New Roman" w:cs="Times New Roman"/>
          <w:iCs/>
          <w:szCs w:val="24"/>
        </w:rPr>
        <w:t>szexuális irányultság, nemi identitás</w:t>
      </w:r>
      <w:r w:rsidR="00401E38" w:rsidRPr="00653AE5">
        <w:rPr>
          <w:rFonts w:ascii="Times New Roman" w:hAnsi="Times New Roman" w:cs="Times New Roman"/>
          <w:iCs/>
          <w:szCs w:val="24"/>
        </w:rPr>
        <w:t xml:space="preserve">: </w:t>
      </w:r>
      <w:proofErr w:type="spellStart"/>
      <w:r w:rsidR="00401E38" w:rsidRPr="00653AE5">
        <w:rPr>
          <w:rFonts w:ascii="Times New Roman" w:hAnsi="Times New Roman" w:cs="Times New Roman"/>
          <w:iCs/>
          <w:szCs w:val="24"/>
        </w:rPr>
        <w:t>Identoba</w:t>
      </w:r>
      <w:proofErr w:type="spellEnd"/>
      <w:r w:rsidR="00092011">
        <w:rPr>
          <w:rFonts w:ascii="Times New Roman" w:hAnsi="Times New Roman" w:cs="Times New Roman"/>
          <w:iCs/>
          <w:szCs w:val="24"/>
        </w:rPr>
        <w:t xml:space="preserve"> </w:t>
      </w:r>
      <w:r w:rsidRPr="00653AE5">
        <w:rPr>
          <w:rFonts w:ascii="Times New Roman" w:hAnsi="Times New Roman" w:cs="Times New Roman"/>
          <w:iCs/>
          <w:szCs w:val="24"/>
        </w:rPr>
        <w:t>kontra Grúzia</w:t>
      </w:r>
      <w:r w:rsidR="00092011">
        <w:rPr>
          <w:rFonts w:ascii="Times New Roman" w:hAnsi="Times New Roman" w:cs="Times New Roman"/>
          <w:iCs/>
          <w:szCs w:val="24"/>
        </w:rPr>
        <w:t xml:space="preserve"> (</w:t>
      </w:r>
      <w:hyperlink r:id="rId23" w:anchor="{&quot;fulltext&quot;:[&quot;Identoba v. Georgia&quot;],&quot;documentcollectionid2&quot;:[&quot;GRANDCHAMBER&quot;,&quot;CHAMBER&quot;],&quot;itemid&quot;:[&quot;001-154400&quot;]}" w:history="1">
        <w:r w:rsidR="00B252B4" w:rsidRPr="00653AE5">
          <w:rPr>
            <w:rStyle w:val="Hiperhivatkozs"/>
            <w:rFonts w:ascii="Times New Roman" w:hAnsi="Times New Roman" w:cs="Times New Roman"/>
            <w:iCs/>
            <w:szCs w:val="24"/>
          </w:rPr>
          <w:t>link</w:t>
        </w:r>
      </w:hyperlink>
      <w:r w:rsidR="00092011">
        <w:t>)</w:t>
      </w:r>
    </w:p>
    <w:p w:rsidR="00401E38" w:rsidRPr="00653AE5" w:rsidRDefault="00D034F7" w:rsidP="00401E38">
      <w:pPr>
        <w:pStyle w:val="Listaszerbekezds"/>
        <w:numPr>
          <w:ilvl w:val="0"/>
          <w:numId w:val="15"/>
        </w:numPr>
        <w:rPr>
          <w:rFonts w:ascii="Times New Roman" w:hAnsi="Times New Roman" w:cs="Times New Roman"/>
          <w:iCs/>
          <w:szCs w:val="24"/>
          <w:u w:val="single"/>
        </w:rPr>
      </w:pPr>
      <w:r w:rsidRPr="00653AE5">
        <w:rPr>
          <w:rFonts w:ascii="Times New Roman" w:hAnsi="Times New Roman" w:cs="Times New Roman"/>
          <w:iCs/>
          <w:szCs w:val="24"/>
        </w:rPr>
        <w:t>fogyatékosság</w:t>
      </w:r>
      <w:r w:rsidR="00401E38" w:rsidRPr="00653AE5">
        <w:rPr>
          <w:rFonts w:ascii="Times New Roman" w:hAnsi="Times New Roman" w:cs="Times New Roman"/>
          <w:iCs/>
          <w:szCs w:val="24"/>
        </w:rPr>
        <w:t xml:space="preserve">: </w:t>
      </w:r>
      <w:proofErr w:type="spellStart"/>
      <w:r w:rsidR="00401E38" w:rsidRPr="00653AE5">
        <w:rPr>
          <w:rFonts w:ascii="Times New Roman" w:hAnsi="Times New Roman" w:cs="Times New Roman"/>
          <w:iCs/>
          <w:szCs w:val="24"/>
        </w:rPr>
        <w:t>Dordevic</w:t>
      </w:r>
      <w:proofErr w:type="spellEnd"/>
      <w:r w:rsidR="00092011">
        <w:rPr>
          <w:rFonts w:ascii="Times New Roman" w:hAnsi="Times New Roman" w:cs="Times New Roman"/>
          <w:iCs/>
          <w:szCs w:val="24"/>
        </w:rPr>
        <w:t xml:space="preserve"> </w:t>
      </w:r>
      <w:r w:rsidRPr="00653AE5">
        <w:rPr>
          <w:rFonts w:ascii="Times New Roman" w:hAnsi="Times New Roman" w:cs="Times New Roman"/>
          <w:iCs/>
          <w:szCs w:val="24"/>
        </w:rPr>
        <w:t>kontra Horvátország</w:t>
      </w:r>
      <w:r w:rsidR="00092011">
        <w:rPr>
          <w:rFonts w:ascii="Times New Roman" w:hAnsi="Times New Roman" w:cs="Times New Roman"/>
          <w:iCs/>
          <w:szCs w:val="24"/>
        </w:rPr>
        <w:t xml:space="preserve"> (</w:t>
      </w:r>
      <w:hyperlink r:id="rId24" w:history="1">
        <w:r w:rsidR="00401E38" w:rsidRPr="00653AE5">
          <w:rPr>
            <w:rStyle w:val="Hiperhivatkozs"/>
            <w:rFonts w:ascii="Times New Roman" w:hAnsi="Times New Roman" w:cs="Times New Roman"/>
            <w:iCs/>
            <w:szCs w:val="24"/>
          </w:rPr>
          <w:t>link</w:t>
        </w:r>
      </w:hyperlink>
      <w:r w:rsidR="00092011">
        <w:t>)</w:t>
      </w:r>
    </w:p>
    <w:p w:rsidR="00401E38" w:rsidRPr="00653AE5" w:rsidRDefault="00401E38" w:rsidP="00401E38">
      <w:pPr>
        <w:jc w:val="both"/>
        <w:rPr>
          <w:rFonts w:ascii="Times New Roman" w:hAnsi="Times New Roman" w:cs="Times New Roman"/>
          <w:b/>
          <w:iCs/>
          <w:szCs w:val="24"/>
        </w:rPr>
      </w:pPr>
    </w:p>
    <w:p w:rsidR="00401E38" w:rsidRPr="00653AE5" w:rsidRDefault="00D034F7" w:rsidP="00401E38">
      <w:pPr>
        <w:jc w:val="both"/>
        <w:rPr>
          <w:rFonts w:ascii="Times New Roman" w:hAnsi="Times New Roman" w:cs="Times New Roman"/>
          <w:iCs/>
          <w:szCs w:val="24"/>
          <w:u w:val="single"/>
        </w:rPr>
      </w:pPr>
      <w:r w:rsidRPr="00653AE5">
        <w:rPr>
          <w:rFonts w:ascii="Times New Roman" w:hAnsi="Times New Roman" w:cs="Times New Roman"/>
          <w:iCs/>
          <w:szCs w:val="24"/>
          <w:u w:val="single"/>
        </w:rPr>
        <w:t xml:space="preserve">Az </w:t>
      </w:r>
      <w:r w:rsidR="00092011">
        <w:rPr>
          <w:rFonts w:ascii="Times New Roman" w:hAnsi="Times New Roman" w:cs="Times New Roman"/>
          <w:iCs/>
          <w:szCs w:val="24"/>
          <w:u w:val="single"/>
        </w:rPr>
        <w:t>előítéletes</w:t>
      </w:r>
      <w:r w:rsidR="00092011" w:rsidRPr="00653AE5">
        <w:rPr>
          <w:rFonts w:ascii="Times New Roman" w:hAnsi="Times New Roman" w:cs="Times New Roman"/>
          <w:iCs/>
          <w:szCs w:val="24"/>
          <w:u w:val="single"/>
        </w:rPr>
        <w:t xml:space="preserve"> </w:t>
      </w:r>
      <w:r w:rsidRPr="00653AE5">
        <w:rPr>
          <w:rFonts w:ascii="Times New Roman" w:hAnsi="Times New Roman" w:cs="Times New Roman"/>
          <w:iCs/>
          <w:szCs w:val="24"/>
          <w:u w:val="single"/>
        </w:rPr>
        <w:t>motiváció feltárásának kötelezettsége még a gyűlölet-bűncselekményekre vonatkozó jogi szabályozás hiányában is</w:t>
      </w:r>
      <w:r w:rsidR="00401E38" w:rsidRPr="00653AE5">
        <w:rPr>
          <w:rFonts w:ascii="Times New Roman" w:hAnsi="Times New Roman" w:cs="Times New Roman"/>
          <w:iCs/>
          <w:szCs w:val="24"/>
          <w:u w:val="single"/>
        </w:rPr>
        <w:t>:</w:t>
      </w:r>
    </w:p>
    <w:p w:rsidR="00401E38" w:rsidRPr="00653AE5" w:rsidRDefault="00401E38" w:rsidP="00401E38">
      <w:pPr>
        <w:pStyle w:val="Listaszerbekezds"/>
        <w:numPr>
          <w:ilvl w:val="0"/>
          <w:numId w:val="14"/>
        </w:numPr>
        <w:jc w:val="both"/>
        <w:rPr>
          <w:rFonts w:ascii="Times New Roman" w:hAnsi="Times New Roman" w:cs="Times New Roman"/>
          <w:iCs/>
          <w:szCs w:val="24"/>
        </w:rPr>
      </w:pPr>
      <w:proofErr w:type="spellStart"/>
      <w:r w:rsidRPr="00653AE5">
        <w:rPr>
          <w:rFonts w:ascii="Times New Roman" w:hAnsi="Times New Roman" w:cs="Times New Roman"/>
          <w:iCs/>
          <w:szCs w:val="24"/>
        </w:rPr>
        <w:t>Angelova</w:t>
      </w:r>
      <w:proofErr w:type="spellEnd"/>
      <w:r w:rsidR="00092011">
        <w:rPr>
          <w:rFonts w:ascii="Times New Roman" w:hAnsi="Times New Roman" w:cs="Times New Roman"/>
          <w:iCs/>
          <w:szCs w:val="24"/>
        </w:rPr>
        <w:t xml:space="preserve"> </w:t>
      </w:r>
      <w:r w:rsidR="00D034F7" w:rsidRPr="00653AE5">
        <w:rPr>
          <w:rFonts w:ascii="Times New Roman" w:hAnsi="Times New Roman" w:cs="Times New Roman"/>
          <w:iCs/>
          <w:szCs w:val="24"/>
        </w:rPr>
        <w:t>és</w:t>
      </w:r>
      <w:r w:rsidR="00092011">
        <w:rPr>
          <w:rFonts w:ascii="Times New Roman" w:hAnsi="Times New Roman" w:cs="Times New Roman"/>
          <w:iCs/>
          <w:szCs w:val="24"/>
        </w:rPr>
        <w:t xml:space="preserve"> </w:t>
      </w:r>
      <w:proofErr w:type="spellStart"/>
      <w:r w:rsidRPr="00653AE5">
        <w:rPr>
          <w:rFonts w:ascii="Times New Roman" w:hAnsi="Times New Roman" w:cs="Times New Roman"/>
          <w:iCs/>
          <w:szCs w:val="24"/>
        </w:rPr>
        <w:t>Iliev</w:t>
      </w:r>
      <w:proofErr w:type="spellEnd"/>
      <w:r w:rsidR="00092011">
        <w:rPr>
          <w:rFonts w:ascii="Times New Roman" w:hAnsi="Times New Roman" w:cs="Times New Roman"/>
          <w:iCs/>
          <w:szCs w:val="24"/>
        </w:rPr>
        <w:t xml:space="preserve"> </w:t>
      </w:r>
      <w:r w:rsidR="00D034F7" w:rsidRPr="00653AE5">
        <w:rPr>
          <w:rFonts w:ascii="Times New Roman" w:hAnsi="Times New Roman" w:cs="Times New Roman"/>
          <w:iCs/>
          <w:szCs w:val="24"/>
        </w:rPr>
        <w:t xml:space="preserve">kontra </w:t>
      </w:r>
      <w:r w:rsidRPr="00653AE5">
        <w:rPr>
          <w:rFonts w:ascii="Times New Roman" w:hAnsi="Times New Roman" w:cs="Times New Roman"/>
          <w:iCs/>
          <w:szCs w:val="24"/>
        </w:rPr>
        <w:t>Bulg</w:t>
      </w:r>
      <w:r w:rsidR="00D034F7" w:rsidRPr="00653AE5">
        <w:rPr>
          <w:rFonts w:ascii="Times New Roman" w:hAnsi="Times New Roman" w:cs="Times New Roman"/>
          <w:iCs/>
          <w:szCs w:val="24"/>
        </w:rPr>
        <w:t>á</w:t>
      </w:r>
      <w:r w:rsidRPr="00653AE5">
        <w:rPr>
          <w:rFonts w:ascii="Times New Roman" w:hAnsi="Times New Roman" w:cs="Times New Roman"/>
          <w:iCs/>
          <w:szCs w:val="24"/>
        </w:rPr>
        <w:t>ria</w:t>
      </w:r>
      <w:r w:rsidR="00092011">
        <w:rPr>
          <w:rFonts w:ascii="Times New Roman" w:hAnsi="Times New Roman" w:cs="Times New Roman"/>
          <w:iCs/>
          <w:szCs w:val="24"/>
        </w:rPr>
        <w:t xml:space="preserve"> (</w:t>
      </w:r>
      <w:hyperlink r:id="rId25" w:anchor="{&quot;fulltext&quot;:[&quot;•tAngelova and Iliev v. Bulgaria&quot;],&quot;documentcollectionid2&quot;:[&quot;GRANDCHAMBER&quot;,&quot;CHAMBER&quot;],&quot;itemid&quot;:[&quot;001-81906&quot;]}" w:history="1">
        <w:r w:rsidR="00B252B4" w:rsidRPr="00653AE5">
          <w:rPr>
            <w:rStyle w:val="Hiperhivatkozs"/>
            <w:rFonts w:ascii="Times New Roman" w:hAnsi="Times New Roman" w:cs="Times New Roman"/>
            <w:iCs/>
            <w:szCs w:val="24"/>
          </w:rPr>
          <w:t>link</w:t>
        </w:r>
      </w:hyperlink>
      <w:r w:rsidR="00092011">
        <w:t>)</w:t>
      </w:r>
    </w:p>
    <w:p w:rsidR="00401E38" w:rsidRPr="00653AE5" w:rsidRDefault="00401E38" w:rsidP="00401E38">
      <w:pPr>
        <w:ind w:left="360"/>
        <w:jc w:val="both"/>
        <w:rPr>
          <w:rFonts w:ascii="Times New Roman" w:hAnsi="Times New Roman" w:cs="Times New Roman"/>
          <w:iCs/>
          <w:szCs w:val="24"/>
        </w:rPr>
      </w:pPr>
    </w:p>
    <w:p w:rsidR="00401E38" w:rsidRPr="00653AE5" w:rsidRDefault="00D034F7" w:rsidP="00401E38">
      <w:pPr>
        <w:jc w:val="both"/>
        <w:rPr>
          <w:rFonts w:ascii="Times New Roman" w:hAnsi="Times New Roman" w:cs="Times New Roman"/>
          <w:iCs/>
          <w:szCs w:val="24"/>
          <w:u w:val="single"/>
        </w:rPr>
      </w:pPr>
      <w:r w:rsidRPr="00653AE5">
        <w:rPr>
          <w:rFonts w:ascii="Times New Roman" w:hAnsi="Times New Roman" w:cs="Times New Roman"/>
          <w:iCs/>
          <w:szCs w:val="24"/>
          <w:u w:val="single"/>
        </w:rPr>
        <w:t>A</w:t>
      </w:r>
      <w:r w:rsidR="00FC0864">
        <w:rPr>
          <w:rFonts w:ascii="Times New Roman" w:hAnsi="Times New Roman" w:cs="Times New Roman"/>
          <w:iCs/>
          <w:szCs w:val="24"/>
          <w:u w:val="single"/>
        </w:rPr>
        <w:t xml:space="preserve"> vegyes indítékok</w:t>
      </w:r>
      <w:r w:rsidRPr="00653AE5">
        <w:rPr>
          <w:rFonts w:ascii="Times New Roman" w:hAnsi="Times New Roman" w:cs="Times New Roman"/>
          <w:iCs/>
          <w:szCs w:val="24"/>
          <w:u w:val="single"/>
        </w:rPr>
        <w:t xml:space="preserve"> nem zárják ki az </w:t>
      </w:r>
      <w:r w:rsidR="00092011">
        <w:rPr>
          <w:rFonts w:ascii="Times New Roman" w:hAnsi="Times New Roman" w:cs="Times New Roman"/>
          <w:iCs/>
          <w:szCs w:val="24"/>
          <w:u w:val="single"/>
        </w:rPr>
        <w:t>előítéletes</w:t>
      </w:r>
      <w:r w:rsidR="00092011" w:rsidRPr="00653AE5">
        <w:rPr>
          <w:rFonts w:ascii="Times New Roman" w:hAnsi="Times New Roman" w:cs="Times New Roman"/>
          <w:iCs/>
          <w:szCs w:val="24"/>
          <w:u w:val="single"/>
        </w:rPr>
        <w:t xml:space="preserve"> </w:t>
      </w:r>
      <w:r w:rsidRPr="00653AE5">
        <w:rPr>
          <w:rFonts w:ascii="Times New Roman" w:hAnsi="Times New Roman" w:cs="Times New Roman"/>
          <w:iCs/>
          <w:szCs w:val="24"/>
          <w:u w:val="single"/>
        </w:rPr>
        <w:t xml:space="preserve">motiváció feltárásának kötelezettségét: </w:t>
      </w:r>
    </w:p>
    <w:p w:rsidR="00401E38" w:rsidRPr="00653AE5" w:rsidRDefault="00401E38" w:rsidP="00401E38">
      <w:pPr>
        <w:pStyle w:val="Listaszerbekezds"/>
        <w:numPr>
          <w:ilvl w:val="0"/>
          <w:numId w:val="14"/>
        </w:numPr>
        <w:jc w:val="both"/>
        <w:rPr>
          <w:rFonts w:ascii="Times New Roman" w:hAnsi="Times New Roman" w:cs="Times New Roman"/>
          <w:iCs/>
          <w:szCs w:val="24"/>
        </w:rPr>
      </w:pPr>
      <w:r w:rsidRPr="00653AE5">
        <w:rPr>
          <w:rFonts w:ascii="Times New Roman" w:hAnsi="Times New Roman" w:cs="Times New Roman"/>
          <w:iCs/>
          <w:szCs w:val="24"/>
        </w:rPr>
        <w:t xml:space="preserve">Balázs </w:t>
      </w:r>
      <w:r w:rsidR="00D034F7" w:rsidRPr="00653AE5">
        <w:rPr>
          <w:rFonts w:ascii="Times New Roman" w:hAnsi="Times New Roman" w:cs="Times New Roman"/>
          <w:iCs/>
          <w:szCs w:val="24"/>
        </w:rPr>
        <w:t>kontra Magyarország</w:t>
      </w:r>
      <w:r w:rsidR="00092011">
        <w:rPr>
          <w:rFonts w:ascii="Times New Roman" w:hAnsi="Times New Roman" w:cs="Times New Roman"/>
          <w:iCs/>
          <w:szCs w:val="24"/>
        </w:rPr>
        <w:t xml:space="preserve"> (</w:t>
      </w:r>
      <w:hyperlink r:id="rId26" w:anchor="{&quot;fulltext&quot;:[&quot;Balázs v. Hungary&quot;],&quot;documentcollectionid2&quot;:[&quot;GRANDCHAMBER&quot;,&quot;CHAMBER&quot;],&quot;itemid&quot;:[&quot;001-158033&quot;]}" w:history="1">
        <w:r w:rsidR="00B252B4" w:rsidRPr="00653AE5">
          <w:rPr>
            <w:rStyle w:val="Hiperhivatkozs"/>
            <w:rFonts w:ascii="Times New Roman" w:hAnsi="Times New Roman" w:cs="Times New Roman"/>
            <w:iCs/>
            <w:szCs w:val="24"/>
          </w:rPr>
          <w:t>link</w:t>
        </w:r>
      </w:hyperlink>
      <w:r w:rsidR="00092011">
        <w:t>)</w:t>
      </w:r>
    </w:p>
    <w:p w:rsidR="004435C2" w:rsidRPr="00653AE5" w:rsidRDefault="004435C2" w:rsidP="004435C2">
      <w:pPr>
        <w:jc w:val="both"/>
        <w:rPr>
          <w:rFonts w:ascii="Times New Roman" w:hAnsi="Times New Roman" w:cs="Times New Roman"/>
          <w:iCs/>
          <w:szCs w:val="24"/>
        </w:rPr>
      </w:pPr>
    </w:p>
    <w:p w:rsidR="00CA3598" w:rsidRPr="00653AE5" w:rsidRDefault="001406E9" w:rsidP="00CA3598">
      <w:pPr>
        <w:pStyle w:val="Cmsor1"/>
        <w:rPr>
          <w:rFonts w:ascii="Times New Roman" w:hAnsi="Times New Roman"/>
          <w:iCs/>
          <w:szCs w:val="24"/>
        </w:rPr>
      </w:pPr>
      <w:bookmarkStart w:id="10" w:name="_Toc515458779"/>
      <w:r w:rsidRPr="00653AE5">
        <w:rPr>
          <w:lang w:eastAsia="en-US"/>
        </w:rPr>
        <w:t>4</w:t>
      </w:r>
      <w:r w:rsidR="00CA3598" w:rsidRPr="00653AE5">
        <w:rPr>
          <w:lang w:eastAsia="en-US"/>
        </w:rPr>
        <w:t xml:space="preserve">. </w:t>
      </w:r>
      <w:r w:rsidR="00092011">
        <w:rPr>
          <w:lang w:eastAsia="en-US"/>
        </w:rPr>
        <w:t>Nemzetközi jogforrások</w:t>
      </w:r>
      <w:bookmarkEnd w:id="10"/>
    </w:p>
    <w:p w:rsidR="00CA3598" w:rsidRPr="00653AE5" w:rsidRDefault="001406E9" w:rsidP="00CA3598">
      <w:pPr>
        <w:pStyle w:val="Cmsor2"/>
      </w:pPr>
      <w:bookmarkStart w:id="11" w:name="_Toc346570263"/>
      <w:bookmarkStart w:id="12" w:name="_Toc515458780"/>
      <w:r w:rsidRPr="00653AE5">
        <w:t>4.</w:t>
      </w:r>
      <w:r w:rsidR="00CA3598" w:rsidRPr="00653AE5">
        <w:t xml:space="preserve">1. </w:t>
      </w:r>
      <w:bookmarkEnd w:id="11"/>
      <w:r w:rsidR="0011272E" w:rsidRPr="00653AE5">
        <w:t>Egyetemes jog</w:t>
      </w:r>
      <w:r w:rsidR="00092011">
        <w:t>források</w:t>
      </w:r>
      <w:bookmarkEnd w:id="12"/>
    </w:p>
    <w:p w:rsidR="00CA3598" w:rsidRPr="00653AE5" w:rsidRDefault="001406E9" w:rsidP="00CA3598">
      <w:pPr>
        <w:pStyle w:val="Cmsor3"/>
      </w:pPr>
      <w:bookmarkStart w:id="13" w:name="_Toc346544863"/>
      <w:bookmarkStart w:id="14" w:name="_Toc346570264"/>
      <w:bookmarkStart w:id="15" w:name="_Toc515458781"/>
      <w:r w:rsidRPr="00653AE5">
        <w:t>4.</w:t>
      </w:r>
      <w:r w:rsidR="00CA3598" w:rsidRPr="00653AE5">
        <w:t xml:space="preserve">1.1 </w:t>
      </w:r>
      <w:r w:rsidR="0011272E" w:rsidRPr="00653AE5">
        <w:t>Az Emberi Jogok Egyetemes Nyilatkozata</w:t>
      </w:r>
      <w:bookmarkEnd w:id="13"/>
      <w:bookmarkEnd w:id="14"/>
      <w:r w:rsidR="00CA3598" w:rsidRPr="00653AE5">
        <w:t xml:space="preserve"> (</w:t>
      </w:r>
      <w:hyperlink r:id="rId27" w:history="1">
        <w:r w:rsidR="00CA3598" w:rsidRPr="00653AE5">
          <w:rPr>
            <w:rStyle w:val="Hiperhivatkozs"/>
          </w:rPr>
          <w:t>link</w:t>
        </w:r>
      </w:hyperlink>
      <w:r w:rsidR="00CA3598" w:rsidRPr="00653AE5">
        <w:t>)</w:t>
      </w:r>
      <w:bookmarkEnd w:id="15"/>
    </w:p>
    <w:p w:rsidR="00CA3598" w:rsidRPr="00653AE5" w:rsidRDefault="00CA3598" w:rsidP="00CA3598">
      <w:pPr>
        <w:rPr>
          <w:rFonts w:ascii="Times New Roman" w:hAnsi="Times New Roman" w:cs="Times New Roman"/>
          <w:i/>
          <w:u w:val="single"/>
        </w:rPr>
      </w:pPr>
      <w:r w:rsidRPr="00653AE5">
        <w:rPr>
          <w:rFonts w:ascii="Times New Roman" w:hAnsi="Times New Roman" w:cs="Times New Roman"/>
          <w:i/>
          <w:u w:val="single"/>
        </w:rPr>
        <w:t>2</w:t>
      </w:r>
      <w:r w:rsidR="0096272A" w:rsidRPr="00653AE5">
        <w:rPr>
          <w:rFonts w:ascii="Times New Roman" w:hAnsi="Times New Roman" w:cs="Times New Roman"/>
          <w:i/>
          <w:u w:val="single"/>
        </w:rPr>
        <w:t>. cikk</w:t>
      </w:r>
    </w:p>
    <w:p w:rsidR="0096272A" w:rsidRPr="00653AE5" w:rsidRDefault="0096272A" w:rsidP="0096272A">
      <w:pPr>
        <w:pStyle w:val="NormlWeb"/>
        <w:shd w:val="clear" w:color="auto" w:fill="FFFFFF"/>
        <w:jc w:val="both"/>
        <w:rPr>
          <w:rFonts w:eastAsiaTheme="minorEastAsia"/>
          <w:sz w:val="22"/>
          <w:szCs w:val="22"/>
          <w:lang w:eastAsia="ja-JP"/>
        </w:rPr>
      </w:pPr>
      <w:proofErr w:type="gramStart"/>
      <w:r w:rsidRPr="00653AE5">
        <w:rPr>
          <w:rFonts w:eastAsiaTheme="minorEastAsia"/>
          <w:sz w:val="22"/>
          <w:szCs w:val="22"/>
          <w:lang w:eastAsia="ja-JP"/>
        </w:rPr>
        <w:t>Mindenki, bármely megkülönböztetésre, nevezetesen fajra, színre, nemre, nyelvre, vallásra, politikai vagy bármely más véleményre, nemzeti vagy társadalmi eredetre, vagyonra, születésre, vagy bármely más körülményre való tekintet nélkül hivatkozhat a jelen Nyilatkozatban kinyilvánított összes jogokra és szabadságokra.Ezenfelül nem lehet semmiféle megkülönböztetést tenni annak az országnak, vagy területnek politikai, jogi vagy nemzetközi helyzete alapján sem, amelynek a személy állampolgára, aszerint, hogy az illető ország vagy terület független, gyámság alatt áll, nem autonóm vagy szuverenitása</w:t>
      </w:r>
      <w:proofErr w:type="gramEnd"/>
      <w:r w:rsidRPr="00653AE5">
        <w:rPr>
          <w:rFonts w:eastAsiaTheme="minorEastAsia"/>
          <w:sz w:val="22"/>
          <w:szCs w:val="22"/>
          <w:lang w:eastAsia="ja-JP"/>
        </w:rPr>
        <w:t xml:space="preserve"> </w:t>
      </w:r>
      <w:proofErr w:type="gramStart"/>
      <w:r w:rsidRPr="00653AE5">
        <w:rPr>
          <w:rFonts w:eastAsiaTheme="minorEastAsia"/>
          <w:sz w:val="22"/>
          <w:szCs w:val="22"/>
          <w:lang w:eastAsia="ja-JP"/>
        </w:rPr>
        <w:t>bármely</w:t>
      </w:r>
      <w:proofErr w:type="gramEnd"/>
      <w:r w:rsidRPr="00653AE5">
        <w:rPr>
          <w:rFonts w:eastAsiaTheme="minorEastAsia"/>
          <w:sz w:val="22"/>
          <w:szCs w:val="22"/>
          <w:lang w:eastAsia="ja-JP"/>
        </w:rPr>
        <w:t xml:space="preserve"> vonatkozásban korlátozott.</w:t>
      </w:r>
    </w:p>
    <w:p w:rsidR="00CA3598" w:rsidRPr="00653AE5" w:rsidRDefault="008541CA" w:rsidP="00CA3598">
      <w:pPr>
        <w:pStyle w:val="Cmsor3"/>
      </w:pPr>
      <w:bookmarkStart w:id="16" w:name="_Toc346544864"/>
      <w:bookmarkStart w:id="17" w:name="_Toc346570265"/>
      <w:bookmarkStart w:id="18" w:name="_Toc515458782"/>
      <w:r w:rsidRPr="00653AE5">
        <w:t>4</w:t>
      </w:r>
      <w:r w:rsidR="00CA3598" w:rsidRPr="00653AE5">
        <w:t>.</w:t>
      </w:r>
      <w:r w:rsidRPr="00653AE5">
        <w:t>1.</w:t>
      </w:r>
      <w:r w:rsidR="00CA3598" w:rsidRPr="00653AE5">
        <w:t xml:space="preserve">2. </w:t>
      </w:r>
      <w:r w:rsidR="0011272E" w:rsidRPr="00653AE5">
        <w:t>Polgári és Politikai Jogok Nemzetközi Egyezségokmány</w:t>
      </w:r>
      <w:bookmarkEnd w:id="16"/>
      <w:bookmarkEnd w:id="17"/>
      <w:r w:rsidR="0011272E" w:rsidRPr="00653AE5">
        <w:t>a</w:t>
      </w:r>
      <w:r w:rsidR="00CA3598" w:rsidRPr="00653AE5">
        <w:t xml:space="preserve"> (</w:t>
      </w:r>
      <w:hyperlink r:id="rId28" w:history="1">
        <w:r w:rsidR="00CA3598" w:rsidRPr="00653AE5">
          <w:rPr>
            <w:rStyle w:val="Hiperhivatkozs"/>
          </w:rPr>
          <w:t>link</w:t>
        </w:r>
      </w:hyperlink>
      <w:r w:rsidR="00CA3598" w:rsidRPr="00653AE5">
        <w:t>)</w:t>
      </w:r>
      <w:bookmarkEnd w:id="18"/>
    </w:p>
    <w:p w:rsidR="00CA3598" w:rsidRPr="00653AE5" w:rsidRDefault="00CA3598" w:rsidP="00CA3598">
      <w:pPr>
        <w:jc w:val="both"/>
        <w:rPr>
          <w:rFonts w:ascii="Times New Roman" w:hAnsi="Times New Roman" w:cs="Times New Roman"/>
          <w:i/>
          <w:u w:val="single"/>
        </w:rPr>
      </w:pPr>
      <w:r w:rsidRPr="00653AE5">
        <w:rPr>
          <w:rFonts w:ascii="Times New Roman" w:hAnsi="Times New Roman" w:cs="Times New Roman"/>
          <w:i/>
          <w:u w:val="single"/>
        </w:rPr>
        <w:t>2</w:t>
      </w:r>
      <w:r w:rsidR="00775B03" w:rsidRPr="00653AE5">
        <w:rPr>
          <w:rFonts w:ascii="Times New Roman" w:hAnsi="Times New Roman" w:cs="Times New Roman"/>
          <w:i/>
          <w:u w:val="single"/>
        </w:rPr>
        <w:t>. cikk</w:t>
      </w:r>
    </w:p>
    <w:p w:rsidR="00CA3598" w:rsidRPr="00653AE5" w:rsidRDefault="00CA3598" w:rsidP="00CA3598">
      <w:pPr>
        <w:jc w:val="both"/>
        <w:rPr>
          <w:rFonts w:ascii="Times New Roman" w:hAnsi="Times New Roman" w:cs="Times New Roman"/>
        </w:rPr>
      </w:pPr>
      <w:r w:rsidRPr="00653AE5">
        <w:rPr>
          <w:rFonts w:ascii="Times New Roman" w:hAnsi="Times New Roman" w:cs="Times New Roman"/>
        </w:rPr>
        <w:lastRenderedPageBreak/>
        <w:t xml:space="preserve">1. </w:t>
      </w:r>
      <w:r w:rsidR="0096272A" w:rsidRPr="00653AE5">
        <w:rPr>
          <w:rFonts w:ascii="Times New Roman" w:hAnsi="Times New Roman" w:cs="Times New Roman"/>
        </w:rPr>
        <w:t>Az Egyezségokmányban részes, valamennyi állam kötelezi magát, hogy tiszteletben tartja és biztosítja a területén tartózkodó és joghatósága alá tartozó minden személy számára az Egyezségokmányban elismert jogokat, minden megkülönböztetés, nevezetesen faj, szín, nem, nyelv, vallás, politikai vagy más vélemény, nemzeti vagy társadalmi származás, vagyoni, születési vagy egyéb helyzet szerinti különbségtétel nélkül.</w:t>
      </w:r>
    </w:p>
    <w:p w:rsidR="00CA3598" w:rsidRPr="00653AE5" w:rsidRDefault="00CA3598" w:rsidP="00CA3598">
      <w:pPr>
        <w:jc w:val="both"/>
        <w:rPr>
          <w:rFonts w:ascii="Times New Roman" w:hAnsi="Times New Roman" w:cs="Times New Roman"/>
          <w:i/>
          <w:u w:val="single"/>
        </w:rPr>
      </w:pPr>
      <w:r w:rsidRPr="00653AE5">
        <w:rPr>
          <w:rFonts w:ascii="Times New Roman" w:hAnsi="Times New Roman" w:cs="Times New Roman"/>
          <w:i/>
          <w:u w:val="single"/>
        </w:rPr>
        <w:t>26</w:t>
      </w:r>
      <w:r w:rsidR="00775B03" w:rsidRPr="00653AE5">
        <w:rPr>
          <w:rFonts w:ascii="Times New Roman" w:hAnsi="Times New Roman" w:cs="Times New Roman"/>
          <w:i/>
          <w:u w:val="single"/>
        </w:rPr>
        <w:t>. cikk</w:t>
      </w:r>
    </w:p>
    <w:p w:rsidR="00CA3598" w:rsidRPr="00653AE5" w:rsidRDefault="0096272A" w:rsidP="00CA3598">
      <w:pPr>
        <w:jc w:val="both"/>
        <w:rPr>
          <w:rFonts w:ascii="Times New Roman" w:hAnsi="Times New Roman" w:cs="Times New Roman"/>
        </w:rPr>
      </w:pPr>
      <w:r w:rsidRPr="00653AE5">
        <w:rPr>
          <w:rFonts w:ascii="Times New Roman" w:hAnsi="Times New Roman" w:cs="Times New Roman"/>
        </w:rPr>
        <w:t>A törvény előtt minden személy egyenlő és minden megkülönböztetés nélkül joga van egyenlő törvényes védelemre. Erre tekintettel a törvénynek minden megkülönböztetést tiltania kell és minden személy számára egyenlő és hatékony védelmet kell biztosítania bármilyen megkülönböztetés ellen, mint amilyen például a faj, szín, nem, nyelv, vallás, politikai vagy egyéb vélemény, nemzeti vagy társadalmi származás, vagyoni, születési vagy más helyzet alapján történő megkülönböztetés.</w:t>
      </w:r>
    </w:p>
    <w:tbl>
      <w:tblPr>
        <w:tblStyle w:val="Vilgoslista2jellszn"/>
        <w:tblW w:w="0" w:type="auto"/>
        <w:tblLook w:val="04A0" w:firstRow="1" w:lastRow="0" w:firstColumn="1" w:lastColumn="0" w:noHBand="0" w:noVBand="1"/>
      </w:tblPr>
      <w:tblGrid>
        <w:gridCol w:w="8516"/>
      </w:tblGrid>
      <w:tr w:rsidR="00CA3598" w:rsidRPr="00653AE5" w:rsidTr="00D23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rsidR="00CA3598" w:rsidRPr="00653AE5" w:rsidRDefault="0096272A" w:rsidP="00CA3598">
            <w:pPr>
              <w:widowControl w:val="0"/>
              <w:tabs>
                <w:tab w:val="left" w:pos="0"/>
                <w:tab w:val="left" w:pos="220"/>
              </w:tabs>
              <w:autoSpaceDE w:val="0"/>
              <w:autoSpaceDN w:val="0"/>
              <w:adjustRightInd w:val="0"/>
              <w:spacing w:after="213"/>
              <w:rPr>
                <w:rFonts w:ascii="Verdana" w:hAnsi="Verdana" w:cs="Times"/>
                <w:i/>
                <w:iCs/>
                <w:sz w:val="19"/>
                <w:szCs w:val="19"/>
                <w:u w:val="single"/>
                <w:lang w:val="hu-HU"/>
              </w:rPr>
            </w:pPr>
            <w:bookmarkStart w:id="19" w:name="_Toc346570266"/>
            <w:r w:rsidRPr="00653AE5">
              <w:rPr>
                <w:rFonts w:ascii="Verdana" w:hAnsi="Verdana" w:cs="Times"/>
                <w:i/>
                <w:iCs/>
                <w:sz w:val="19"/>
                <w:szCs w:val="19"/>
                <w:u w:val="single"/>
                <w:lang w:val="hu-HU"/>
              </w:rPr>
              <w:t>Ellenőrző testület</w:t>
            </w:r>
          </w:p>
          <w:p w:rsidR="00CA3598" w:rsidRPr="00653AE5" w:rsidRDefault="00CA3598" w:rsidP="00CA3598">
            <w:pPr>
              <w:widowControl w:val="0"/>
              <w:tabs>
                <w:tab w:val="left" w:pos="0"/>
                <w:tab w:val="left" w:pos="220"/>
              </w:tabs>
              <w:autoSpaceDE w:val="0"/>
              <w:autoSpaceDN w:val="0"/>
              <w:adjustRightInd w:val="0"/>
              <w:spacing w:after="213"/>
              <w:rPr>
                <w:rFonts w:ascii="Verdana" w:hAnsi="Verdana" w:cs="Times"/>
                <w:sz w:val="19"/>
                <w:szCs w:val="19"/>
                <w:lang w:val="hu-HU"/>
              </w:rPr>
            </w:pPr>
            <w:r w:rsidRPr="00653AE5">
              <w:rPr>
                <w:rFonts w:ascii="Verdana" w:hAnsi="Verdana" w:cs="Times"/>
                <w:sz w:val="19"/>
                <w:szCs w:val="19"/>
                <w:lang w:val="hu-HU"/>
              </w:rPr>
              <w:tab/>
            </w:r>
            <w:r w:rsidR="0096272A" w:rsidRPr="00653AE5">
              <w:rPr>
                <w:rFonts w:ascii="Verdana" w:hAnsi="Verdana" w:cs="Times"/>
                <w:sz w:val="19"/>
                <w:szCs w:val="19"/>
                <w:lang w:val="hu-HU"/>
              </w:rPr>
              <w:t>Az Emberi Jogi Bizottság az a független szakértőkből álló testület, amely a</w:t>
            </w:r>
            <w:r w:rsidR="00A96A57">
              <w:rPr>
                <w:rFonts w:ascii="Verdana" w:hAnsi="Verdana" w:cs="Times"/>
                <w:sz w:val="19"/>
                <w:szCs w:val="19"/>
                <w:lang w:val="hu-HU"/>
              </w:rPr>
              <w:t>zt ellenőrzi, hogy a részes államok hogyan hajtják végre a</w:t>
            </w:r>
            <w:r w:rsidR="0096272A" w:rsidRPr="00653AE5">
              <w:rPr>
                <w:rFonts w:ascii="Verdana" w:hAnsi="Verdana" w:cs="Times"/>
                <w:sz w:val="19"/>
                <w:szCs w:val="19"/>
                <w:lang w:val="hu-HU"/>
              </w:rPr>
              <w:t xml:space="preserve"> Polgári és Politikai Jogok Nemzetközi Egyezségokmányá</w:t>
            </w:r>
            <w:r w:rsidR="00A96A57">
              <w:rPr>
                <w:rFonts w:ascii="Verdana" w:hAnsi="Verdana" w:cs="Times"/>
                <w:sz w:val="19"/>
                <w:szCs w:val="19"/>
                <w:lang w:val="hu-HU"/>
              </w:rPr>
              <w:t>t</w:t>
            </w:r>
            <w:r w:rsidR="0096272A" w:rsidRPr="00653AE5">
              <w:rPr>
                <w:rFonts w:ascii="Verdana" w:hAnsi="Verdana" w:cs="Times"/>
                <w:sz w:val="19"/>
                <w:szCs w:val="19"/>
                <w:lang w:val="hu-HU"/>
              </w:rPr>
              <w:t xml:space="preserve">. Valamennyi részes állam köteles rendszeres jelentéseket benyújtani a </w:t>
            </w:r>
            <w:r w:rsidR="00653AE5" w:rsidRPr="00653AE5">
              <w:rPr>
                <w:rFonts w:ascii="Verdana" w:hAnsi="Verdana" w:cs="Times"/>
                <w:sz w:val="19"/>
                <w:szCs w:val="19"/>
                <w:lang w:val="hu-HU"/>
              </w:rPr>
              <w:t xml:space="preserve">Bizottságnak arról, hogy hogyan érvényesítik az Egyezségokmányban szereplő jogokat. Az államok az Egyezségokmányhoz való csatlakozásuk után egy évvel kötelesek az első jelentést benyújtani, azt követően </w:t>
            </w:r>
            <w:r w:rsidR="009606F9">
              <w:rPr>
                <w:rFonts w:ascii="Verdana" w:hAnsi="Verdana" w:cs="Times"/>
                <w:sz w:val="19"/>
                <w:szCs w:val="19"/>
                <w:lang w:val="hu-HU"/>
              </w:rPr>
              <w:t xml:space="preserve">pedig </w:t>
            </w:r>
            <w:r w:rsidR="00653AE5" w:rsidRPr="00653AE5">
              <w:rPr>
                <w:rFonts w:ascii="Verdana" w:hAnsi="Verdana" w:cs="Times"/>
                <w:sz w:val="19"/>
                <w:szCs w:val="19"/>
                <w:lang w:val="hu-HU"/>
              </w:rPr>
              <w:t xml:space="preserve">minden alkalommal, amikor a Bizottság erre kéri őket (általában </w:t>
            </w:r>
            <w:proofErr w:type="gramStart"/>
            <w:r w:rsidR="00653AE5" w:rsidRPr="00653AE5">
              <w:rPr>
                <w:rFonts w:ascii="Verdana" w:hAnsi="Verdana" w:cs="Times"/>
                <w:sz w:val="19"/>
                <w:szCs w:val="19"/>
                <w:lang w:val="hu-HU"/>
              </w:rPr>
              <w:t>négy évente</w:t>
            </w:r>
            <w:proofErr w:type="gramEnd"/>
            <w:r w:rsidR="00653AE5" w:rsidRPr="00653AE5">
              <w:rPr>
                <w:rFonts w:ascii="Verdana" w:hAnsi="Verdana" w:cs="Times"/>
                <w:sz w:val="19"/>
                <w:szCs w:val="19"/>
                <w:lang w:val="hu-HU"/>
              </w:rPr>
              <w:t xml:space="preserve">). A Bizottság minden egyes jelentést megvizsgál és eljuttatja a részes államokhoz az </w:t>
            </w:r>
            <w:r w:rsidR="009606F9">
              <w:rPr>
                <w:rFonts w:ascii="Verdana" w:hAnsi="Verdana" w:cs="Times"/>
                <w:sz w:val="19"/>
                <w:szCs w:val="19"/>
                <w:lang w:val="hu-HU"/>
              </w:rPr>
              <w:t>kérdése</w:t>
            </w:r>
            <w:r w:rsidR="00653AE5" w:rsidRPr="00653AE5">
              <w:rPr>
                <w:rFonts w:ascii="Verdana" w:hAnsi="Verdana" w:cs="Times"/>
                <w:sz w:val="19"/>
                <w:szCs w:val="19"/>
                <w:lang w:val="hu-HU"/>
              </w:rPr>
              <w:t>it és javaslat</w:t>
            </w:r>
            <w:r w:rsidR="009606F9">
              <w:rPr>
                <w:rFonts w:ascii="Verdana" w:hAnsi="Verdana" w:cs="Times"/>
                <w:sz w:val="19"/>
                <w:szCs w:val="19"/>
                <w:lang w:val="hu-HU"/>
              </w:rPr>
              <w:t>ait</w:t>
            </w:r>
            <w:r w:rsidR="00653AE5" w:rsidRPr="00653AE5">
              <w:rPr>
                <w:rFonts w:ascii="Verdana" w:hAnsi="Verdana" w:cs="Times"/>
                <w:sz w:val="19"/>
                <w:szCs w:val="19"/>
                <w:lang w:val="hu-HU"/>
              </w:rPr>
              <w:t xml:space="preserve"> az úgynevezett </w:t>
            </w:r>
            <w:r w:rsidR="00653AE5">
              <w:rPr>
                <w:rFonts w:ascii="Verdana" w:hAnsi="Verdana" w:cs="Times"/>
                <w:sz w:val="19"/>
                <w:szCs w:val="19"/>
                <w:lang w:val="hu-HU"/>
              </w:rPr>
              <w:t>„záró megjegyzések” formájában</w:t>
            </w:r>
            <w:r w:rsidRPr="00653AE5">
              <w:rPr>
                <w:rFonts w:ascii="Verdana" w:hAnsi="Verdana" w:cs="Times"/>
                <w:sz w:val="19"/>
                <w:szCs w:val="19"/>
                <w:lang w:val="hu-HU"/>
              </w:rPr>
              <w:t>.</w:t>
            </w:r>
          </w:p>
          <w:p w:rsidR="00CA3598" w:rsidRPr="00653AE5" w:rsidRDefault="00653AE5" w:rsidP="00CA3598">
            <w:pPr>
              <w:widowControl w:val="0"/>
              <w:tabs>
                <w:tab w:val="left" w:pos="0"/>
                <w:tab w:val="left" w:pos="220"/>
              </w:tabs>
              <w:autoSpaceDE w:val="0"/>
              <w:autoSpaceDN w:val="0"/>
              <w:adjustRightInd w:val="0"/>
              <w:spacing w:after="213"/>
              <w:rPr>
                <w:rFonts w:ascii="Verdana" w:hAnsi="Verdana" w:cs="Times"/>
                <w:i/>
                <w:iCs/>
                <w:sz w:val="19"/>
                <w:szCs w:val="19"/>
                <w:u w:val="single"/>
                <w:lang w:val="hu-HU"/>
              </w:rPr>
            </w:pPr>
            <w:bookmarkStart w:id="20" w:name="_Toc346570267"/>
            <w:r>
              <w:rPr>
                <w:rFonts w:ascii="Verdana" w:hAnsi="Verdana" w:cs="Times"/>
                <w:i/>
                <w:iCs/>
                <w:sz w:val="19"/>
                <w:szCs w:val="19"/>
                <w:u w:val="single"/>
                <w:lang w:val="hu-HU"/>
              </w:rPr>
              <w:t>Egyéni panaszok</w:t>
            </w:r>
            <w:bookmarkEnd w:id="20"/>
          </w:p>
          <w:p w:rsidR="00CA3598" w:rsidRPr="00653AE5" w:rsidRDefault="00CA3598" w:rsidP="0090750C">
            <w:pPr>
              <w:widowControl w:val="0"/>
              <w:tabs>
                <w:tab w:val="left" w:pos="0"/>
                <w:tab w:val="left" w:pos="220"/>
              </w:tabs>
              <w:autoSpaceDE w:val="0"/>
              <w:autoSpaceDN w:val="0"/>
              <w:adjustRightInd w:val="0"/>
              <w:spacing w:after="213"/>
              <w:rPr>
                <w:rFonts w:ascii="Verdana" w:hAnsi="Verdana" w:cs="Times"/>
                <w:sz w:val="19"/>
                <w:szCs w:val="19"/>
                <w:lang w:val="hu-HU"/>
              </w:rPr>
            </w:pPr>
            <w:r w:rsidRPr="00653AE5">
              <w:rPr>
                <w:rFonts w:ascii="Verdana" w:hAnsi="Verdana" w:cs="Times"/>
                <w:sz w:val="19"/>
                <w:szCs w:val="19"/>
                <w:lang w:val="hu-HU"/>
              </w:rPr>
              <w:tab/>
            </w:r>
            <w:r w:rsidR="00653AE5">
              <w:rPr>
                <w:rFonts w:ascii="Verdana" w:hAnsi="Verdana" w:cs="Times"/>
                <w:sz w:val="19"/>
                <w:szCs w:val="19"/>
                <w:lang w:val="hu-HU"/>
              </w:rPr>
              <w:t>Az Emberi Jogi Bizottság</w:t>
            </w:r>
            <w:r w:rsidRPr="00653AE5">
              <w:rPr>
                <w:rFonts w:ascii="Verdana" w:hAnsi="Verdana" w:cs="Times"/>
                <w:sz w:val="19"/>
                <w:szCs w:val="19"/>
                <w:lang w:val="hu-HU"/>
              </w:rPr>
              <w:t xml:space="preserve"> </w:t>
            </w:r>
            <w:r w:rsidR="00653AE5" w:rsidRPr="00653AE5">
              <w:rPr>
                <w:rFonts w:ascii="Verdana" w:hAnsi="Verdana" w:cs="Times"/>
                <w:sz w:val="19"/>
                <w:szCs w:val="19"/>
                <w:lang w:val="hu-HU"/>
              </w:rPr>
              <w:t>a Polgári és Politikai Jogok Nemzetközi Egyezségokmány</w:t>
            </w:r>
            <w:r w:rsidR="00653AE5">
              <w:rPr>
                <w:rFonts w:ascii="Verdana" w:hAnsi="Verdana" w:cs="Times"/>
                <w:sz w:val="19"/>
                <w:szCs w:val="19"/>
                <w:lang w:val="hu-HU"/>
              </w:rPr>
              <w:t xml:space="preserve">a Első </w:t>
            </w:r>
            <w:r w:rsidR="00D96649">
              <w:rPr>
                <w:rFonts w:ascii="Verdana" w:hAnsi="Verdana" w:cs="Times"/>
                <w:sz w:val="19"/>
                <w:szCs w:val="19"/>
                <w:lang w:val="hu-HU"/>
              </w:rPr>
              <w:t xml:space="preserve">Fakultatív Jegyzőkönyvének részes államainak </w:t>
            </w:r>
            <w:r w:rsidR="00D96649" w:rsidRPr="00653AE5">
              <w:rPr>
                <w:rFonts w:ascii="Verdana" w:hAnsi="Verdana" w:cs="Times"/>
                <w:sz w:val="19"/>
                <w:szCs w:val="19"/>
                <w:lang w:val="hu-HU"/>
              </w:rPr>
              <w:t>a Polgári és Politikai Jogok Nemzetközi Egyezségokmány</w:t>
            </w:r>
            <w:r w:rsidR="00653AE5" w:rsidRPr="00653AE5">
              <w:rPr>
                <w:rFonts w:ascii="Verdana" w:hAnsi="Verdana" w:cs="Times"/>
                <w:sz w:val="19"/>
                <w:szCs w:val="19"/>
                <w:lang w:val="hu-HU"/>
              </w:rPr>
              <w:t>á</w:t>
            </w:r>
            <w:r w:rsidR="00653AE5">
              <w:rPr>
                <w:rFonts w:ascii="Verdana" w:hAnsi="Verdana" w:cs="Times"/>
                <w:sz w:val="19"/>
                <w:szCs w:val="19"/>
                <w:lang w:val="hu-HU"/>
              </w:rPr>
              <w:t>ba foglalt jogok megsértésére vonatkozó egyéni megkeresés</w:t>
            </w:r>
            <w:r w:rsidR="00D96649">
              <w:rPr>
                <w:rFonts w:ascii="Verdana" w:hAnsi="Verdana" w:cs="Times"/>
                <w:sz w:val="19"/>
                <w:szCs w:val="19"/>
                <w:lang w:val="hu-HU"/>
              </w:rPr>
              <w:t>iv</w:t>
            </w:r>
            <w:r w:rsidR="00653AE5">
              <w:rPr>
                <w:rFonts w:ascii="Verdana" w:hAnsi="Verdana" w:cs="Times"/>
                <w:sz w:val="19"/>
                <w:szCs w:val="19"/>
                <w:lang w:val="hu-HU"/>
              </w:rPr>
              <w:t>el is foglalkozhat</w:t>
            </w:r>
            <w:r w:rsidR="00D96649">
              <w:rPr>
                <w:rFonts w:ascii="Verdana" w:hAnsi="Verdana" w:cs="Times"/>
                <w:sz w:val="19"/>
                <w:szCs w:val="19"/>
                <w:lang w:val="hu-HU"/>
              </w:rPr>
              <w:t>.</w:t>
            </w:r>
            <w:r w:rsidRPr="00653AE5">
              <w:rPr>
                <w:rFonts w:ascii="Verdana" w:hAnsi="Verdana" w:cs="Times"/>
                <w:sz w:val="19"/>
                <w:szCs w:val="19"/>
                <w:vertAlign w:val="superscript"/>
                <w:lang w:val="hu-HU"/>
              </w:rPr>
              <w:footnoteReference w:id="37"/>
            </w:r>
          </w:p>
        </w:tc>
      </w:tr>
    </w:tbl>
    <w:p w:rsidR="00CA3598" w:rsidRPr="00653AE5" w:rsidRDefault="00CA3598" w:rsidP="00CA3598">
      <w:pPr>
        <w:keepNext/>
        <w:keepLines/>
        <w:spacing w:before="200" w:after="0"/>
        <w:jc w:val="both"/>
        <w:outlineLvl w:val="2"/>
        <w:rPr>
          <w:rFonts w:asciiTheme="majorHAnsi" w:eastAsiaTheme="majorEastAsia" w:hAnsiTheme="majorHAnsi" w:cstheme="majorBidi"/>
          <w:b/>
          <w:bCs/>
          <w:color w:val="4F81BD" w:themeColor="accent1"/>
        </w:rPr>
      </w:pPr>
      <w:bookmarkStart w:id="21" w:name="_Toc346544865"/>
      <w:bookmarkStart w:id="22" w:name="_Toc346570268"/>
      <w:bookmarkEnd w:id="19"/>
    </w:p>
    <w:p w:rsidR="00CA3598" w:rsidRPr="00D96649" w:rsidRDefault="008541CA" w:rsidP="00D96649">
      <w:pPr>
        <w:pStyle w:val="Cmsor2"/>
        <w:shd w:val="clear" w:color="auto" w:fill="FFFFFF"/>
        <w:rPr>
          <w:color w:val="243F60" w:themeColor="accent1" w:themeShade="7F"/>
          <w:sz w:val="24"/>
          <w:szCs w:val="24"/>
        </w:rPr>
      </w:pPr>
      <w:bookmarkStart w:id="23" w:name="_Toc515458783"/>
      <w:r w:rsidRPr="00653AE5">
        <w:t>4.</w:t>
      </w:r>
      <w:r w:rsidR="00CA3598" w:rsidRPr="00653AE5">
        <w:t xml:space="preserve">1.3. </w:t>
      </w:r>
      <w:r w:rsidR="00D96649" w:rsidRPr="00D96649">
        <w:rPr>
          <w:color w:val="243F60" w:themeColor="accent1" w:themeShade="7F"/>
          <w:sz w:val="24"/>
          <w:szCs w:val="24"/>
        </w:rPr>
        <w:t xml:space="preserve">Nemzetközi Egyezmény </w:t>
      </w:r>
      <w:r w:rsidR="00D96649">
        <w:rPr>
          <w:color w:val="243F60" w:themeColor="accent1" w:themeShade="7F"/>
          <w:sz w:val="24"/>
          <w:szCs w:val="24"/>
        </w:rPr>
        <w:t>a</w:t>
      </w:r>
      <w:r w:rsidR="00D96649" w:rsidRPr="00D96649">
        <w:rPr>
          <w:color w:val="243F60" w:themeColor="accent1" w:themeShade="7F"/>
          <w:sz w:val="24"/>
          <w:szCs w:val="24"/>
        </w:rPr>
        <w:t xml:space="preserve"> Faji Megkülönböztetés Valamennyi Formájának </w:t>
      </w:r>
      <w:proofErr w:type="gramStart"/>
      <w:r w:rsidR="00D96649" w:rsidRPr="00D96649">
        <w:rPr>
          <w:color w:val="243F60" w:themeColor="accent1" w:themeShade="7F"/>
          <w:sz w:val="24"/>
          <w:szCs w:val="24"/>
        </w:rPr>
        <w:t>Kiküszöböléséről</w:t>
      </w:r>
      <w:bookmarkEnd w:id="21"/>
      <w:bookmarkEnd w:id="22"/>
      <w:r w:rsidR="00CA3598" w:rsidRPr="00653AE5">
        <w:t>(</w:t>
      </w:r>
      <w:proofErr w:type="gramEnd"/>
      <w:r w:rsidR="00B40D80">
        <w:fldChar w:fldCharType="begin"/>
      </w:r>
      <w:r w:rsidR="00B40D80">
        <w:instrText xml:space="preserve"> HYPERLINK "https://net.jogtar.hu/jogszabaly?docid=96900008.tvr" </w:instrText>
      </w:r>
      <w:r w:rsidR="00B40D80">
        <w:fldChar w:fldCharType="separate"/>
      </w:r>
      <w:r w:rsidR="00CA3598" w:rsidRPr="00D96649">
        <w:rPr>
          <w:rStyle w:val="Hiperhivatkozs"/>
        </w:rPr>
        <w:t>link</w:t>
      </w:r>
      <w:r w:rsidR="00B40D80">
        <w:rPr>
          <w:rStyle w:val="Hiperhivatkozs"/>
        </w:rPr>
        <w:fldChar w:fldCharType="end"/>
      </w:r>
      <w:r w:rsidR="00CA3598" w:rsidRPr="00653AE5">
        <w:t>)</w:t>
      </w:r>
      <w:bookmarkEnd w:id="23"/>
    </w:p>
    <w:p w:rsidR="00CA3598" w:rsidRPr="00653AE5" w:rsidRDefault="00CA3598" w:rsidP="00CA3598">
      <w:pPr>
        <w:spacing w:after="0" w:line="240" w:lineRule="auto"/>
        <w:jc w:val="both"/>
      </w:pPr>
    </w:p>
    <w:p w:rsidR="00CA3598" w:rsidRPr="00653AE5" w:rsidRDefault="00E27C6A" w:rsidP="00CA3598">
      <w:pPr>
        <w:jc w:val="both"/>
        <w:rPr>
          <w:rFonts w:ascii="Times New Roman" w:hAnsi="Times New Roman" w:cs="Times New Roman"/>
        </w:rPr>
      </w:pPr>
      <w:r>
        <w:rPr>
          <w:rFonts w:ascii="Times New Roman" w:hAnsi="Times New Roman" w:cs="Times New Roman"/>
        </w:rPr>
        <w:t>A Nemzetközi Egyezményt a Faji Megkülönböztetés Valamennyi Formájának Kik</w:t>
      </w:r>
      <w:r w:rsidR="00660887">
        <w:rPr>
          <w:rFonts w:ascii="Times New Roman" w:hAnsi="Times New Roman" w:cs="Times New Roman"/>
        </w:rPr>
        <w:t>ü</w:t>
      </w:r>
      <w:r>
        <w:rPr>
          <w:rFonts w:ascii="Times New Roman" w:hAnsi="Times New Roman" w:cs="Times New Roman"/>
        </w:rPr>
        <w:t>szöböléséről 1965-ben fogadta el az ENSZ Közgyűlése, mint az emberi jogok és az alapvető szabadságok elleni megkülönböztetésre vonatkozó elsődleges nemzetközi szerződést</w:t>
      </w:r>
      <w:r w:rsidR="00CA3598" w:rsidRPr="00653AE5">
        <w:rPr>
          <w:rFonts w:ascii="Times New Roman" w:hAnsi="Times New Roman" w:cs="Times New Roman"/>
        </w:rPr>
        <w:t xml:space="preserve">. </w:t>
      </w:r>
    </w:p>
    <w:p w:rsidR="00CA3598" w:rsidRPr="00653AE5" w:rsidRDefault="00E27C6A" w:rsidP="00CA3598">
      <w:pPr>
        <w:jc w:val="both"/>
        <w:rPr>
          <w:rFonts w:ascii="Times New Roman" w:hAnsi="Times New Roman" w:cs="Times New Roman"/>
        </w:rPr>
      </w:pPr>
      <w:r>
        <w:rPr>
          <w:rFonts w:ascii="Times New Roman" w:hAnsi="Times New Roman" w:cs="Times New Roman"/>
        </w:rPr>
        <w:t>A címben szereplő „faji megk</w:t>
      </w:r>
      <w:r w:rsidR="00660887">
        <w:rPr>
          <w:rFonts w:ascii="Times New Roman" w:hAnsi="Times New Roman" w:cs="Times New Roman"/>
        </w:rPr>
        <w:t>ü</w:t>
      </w:r>
      <w:r>
        <w:rPr>
          <w:rFonts w:ascii="Times New Roman" w:hAnsi="Times New Roman" w:cs="Times New Roman"/>
        </w:rPr>
        <w:t>lönböztetés” jelent „</w:t>
      </w:r>
      <w:r w:rsidRPr="00E27C6A">
        <w:rPr>
          <w:rFonts w:ascii="Times New Roman" w:hAnsi="Times New Roman" w:cs="Times New Roman"/>
        </w:rPr>
        <w:t xml:space="preserve">minden olyan különbségtételt, kizárást, megszorítást vagy előnyben részesítést jelent, amelynek alapja a faj, a szín, a leszármazás, a nemzetiségi vagy etnikai származás, és amelynek célja vagy eredménye politikai, gazdasági, </w:t>
      </w:r>
      <w:r w:rsidRPr="00E27C6A">
        <w:rPr>
          <w:rFonts w:ascii="Times New Roman" w:hAnsi="Times New Roman" w:cs="Times New Roman"/>
        </w:rPr>
        <w:lastRenderedPageBreak/>
        <w:t>társadalmi, kulturális téren vagy a közélet bármely más terén az emberi jogok és alapvető szabadságjogok elismerésének, egyenrangú élvezetének vagy gyakorlásának megsemmisítése vagy csorbítása.</w:t>
      </w:r>
      <w:r>
        <w:rPr>
          <w:rFonts w:ascii="Times New Roman" w:hAnsi="Times New Roman" w:cs="Times New Roman"/>
        </w:rPr>
        <w:t>” (</w:t>
      </w:r>
      <w:r w:rsidRPr="00E27C6A">
        <w:rPr>
          <w:rFonts w:ascii="Times New Roman" w:hAnsi="Times New Roman" w:cs="Times New Roman"/>
          <w:i/>
        </w:rPr>
        <w:t>1. cikk</w:t>
      </w:r>
      <w:r>
        <w:rPr>
          <w:rFonts w:ascii="Times New Roman" w:hAnsi="Times New Roman" w:cs="Times New Roman"/>
        </w:rPr>
        <w:t>)</w:t>
      </w:r>
      <w:proofErr w:type="gramStart"/>
      <w:r>
        <w:rPr>
          <w:rFonts w:ascii="Times New Roman" w:hAnsi="Times New Roman" w:cs="Times New Roman"/>
        </w:rPr>
        <w:t>.Meg</w:t>
      </w:r>
      <w:proofErr w:type="gramEnd"/>
      <w:r>
        <w:rPr>
          <w:rFonts w:ascii="Times New Roman" w:hAnsi="Times New Roman" w:cs="Times New Roman"/>
        </w:rPr>
        <w:t xml:space="preserve"> kell jegyezni azonban, hogy a szerződés nem tartalmaz az állampolgárok és nem-állampolgárok azonosítása közötti szuverén </w:t>
      </w:r>
      <w:r w:rsidR="00660887">
        <w:rPr>
          <w:rFonts w:ascii="Times New Roman" w:hAnsi="Times New Roman" w:cs="Times New Roman"/>
        </w:rPr>
        <w:t>különbségtételre</w:t>
      </w:r>
      <w:r>
        <w:rPr>
          <w:rFonts w:ascii="Times New Roman" w:hAnsi="Times New Roman" w:cs="Times New Roman"/>
        </w:rPr>
        <w:t xml:space="preserve"> vonatkozó rendelkezéseket mindaddig, amíg ezek lényegüket tekintve nem megkülönböztető jellegűek. </w:t>
      </w:r>
      <w:r w:rsidR="00660887">
        <w:rPr>
          <w:rFonts w:ascii="Times New Roman" w:hAnsi="Times New Roman" w:cs="Times New Roman"/>
        </w:rPr>
        <w:t>Így az Egyezmény 5. cikke értelmében semmilyen megkülönböztetés nem alkalmazható az emberek között az alábbiak élvezetében</w:t>
      </w:r>
      <w:r w:rsidR="00CA3598" w:rsidRPr="00653AE5">
        <w:rPr>
          <w:rFonts w:ascii="Times New Roman" w:hAnsi="Times New Roman" w:cs="Times New Roman"/>
        </w:rPr>
        <w:t>:</w:t>
      </w:r>
    </w:p>
    <w:p w:rsidR="00E27C6A" w:rsidRPr="00E27C6A" w:rsidRDefault="00E27C6A" w:rsidP="00E27C6A">
      <w:pPr>
        <w:spacing w:line="240" w:lineRule="auto"/>
        <w:jc w:val="both"/>
        <w:rPr>
          <w:rFonts w:ascii="Times New Roman" w:hAnsi="Times New Roman" w:cs="Times New Roman"/>
        </w:rPr>
      </w:pPr>
      <w:proofErr w:type="gramStart"/>
      <w:r w:rsidRPr="00E27C6A">
        <w:rPr>
          <w:rFonts w:ascii="Times New Roman" w:hAnsi="Times New Roman" w:cs="Times New Roman"/>
        </w:rPr>
        <w:t>a</w:t>
      </w:r>
      <w:proofErr w:type="gramEnd"/>
      <w:r w:rsidRPr="00E27C6A">
        <w:rPr>
          <w:rFonts w:ascii="Times New Roman" w:hAnsi="Times New Roman" w:cs="Times New Roman"/>
        </w:rPr>
        <w:t>) Egyenlő elbánáshoz való jog a bíróságok és az igazságszolgáltatás minden más szerve előtt;</w:t>
      </w:r>
    </w:p>
    <w:p w:rsidR="00E27C6A" w:rsidRPr="00E27C6A" w:rsidRDefault="00E27C6A" w:rsidP="00E27C6A">
      <w:pPr>
        <w:spacing w:line="240" w:lineRule="auto"/>
        <w:jc w:val="both"/>
        <w:rPr>
          <w:rFonts w:ascii="Times New Roman" w:hAnsi="Times New Roman" w:cs="Times New Roman"/>
        </w:rPr>
      </w:pPr>
      <w:r w:rsidRPr="00E27C6A">
        <w:rPr>
          <w:rFonts w:ascii="Times New Roman" w:hAnsi="Times New Roman" w:cs="Times New Roman"/>
        </w:rPr>
        <w:t>b) </w:t>
      </w:r>
      <w:proofErr w:type="gramStart"/>
      <w:r w:rsidRPr="00E27C6A">
        <w:rPr>
          <w:rFonts w:ascii="Times New Roman" w:hAnsi="Times New Roman" w:cs="Times New Roman"/>
        </w:rPr>
        <w:t>A</w:t>
      </w:r>
      <w:proofErr w:type="gramEnd"/>
      <w:r w:rsidRPr="00E27C6A">
        <w:rPr>
          <w:rFonts w:ascii="Times New Roman" w:hAnsi="Times New Roman" w:cs="Times New Roman"/>
        </w:rPr>
        <w:t xml:space="preserve"> személyes biztonsághoz és az állami védelemhez való jog akár kormánytisztviselők, akár bármely egyén, csoport vagy intézmény által elkövetett erőszakkal vagy testi bántalmazással szemben;</w:t>
      </w:r>
    </w:p>
    <w:p w:rsidR="00E27C6A" w:rsidRPr="00E27C6A" w:rsidRDefault="00E27C6A" w:rsidP="00E27C6A">
      <w:pPr>
        <w:spacing w:line="240" w:lineRule="auto"/>
        <w:jc w:val="both"/>
        <w:rPr>
          <w:rFonts w:ascii="Times New Roman" w:hAnsi="Times New Roman" w:cs="Times New Roman"/>
        </w:rPr>
      </w:pPr>
      <w:r w:rsidRPr="00E27C6A">
        <w:rPr>
          <w:rFonts w:ascii="Times New Roman" w:hAnsi="Times New Roman" w:cs="Times New Roman"/>
        </w:rPr>
        <w:t>c) Politikai jogok, különösen a választásban való részvétel joga, az aktív és passzív választói jog általános és egyenlő szavazás alapján, a kormányzásban, valamint bármely szinten a közügyek intézésében való részvétel joga, továbbá az egyenlő feltételekhez való jog közhivatali állás betöltésénél;</w:t>
      </w:r>
    </w:p>
    <w:p w:rsidR="00E27C6A" w:rsidRPr="00E27C6A" w:rsidRDefault="00E27C6A" w:rsidP="00E27C6A">
      <w:pPr>
        <w:spacing w:line="240" w:lineRule="auto"/>
        <w:jc w:val="both"/>
        <w:rPr>
          <w:rFonts w:ascii="Times New Roman" w:hAnsi="Times New Roman" w:cs="Times New Roman"/>
        </w:rPr>
      </w:pPr>
      <w:r w:rsidRPr="00E27C6A">
        <w:rPr>
          <w:rFonts w:ascii="Times New Roman" w:hAnsi="Times New Roman" w:cs="Times New Roman"/>
        </w:rPr>
        <w:t>d) Egyéb polgári jogok, különösen:</w:t>
      </w:r>
    </w:p>
    <w:p w:rsidR="00E27C6A" w:rsidRPr="00E27C6A" w:rsidRDefault="00E27C6A" w:rsidP="00E27C6A">
      <w:pPr>
        <w:spacing w:line="240" w:lineRule="auto"/>
        <w:jc w:val="both"/>
        <w:rPr>
          <w:rFonts w:ascii="Times New Roman" w:hAnsi="Times New Roman" w:cs="Times New Roman"/>
        </w:rPr>
      </w:pPr>
      <w:r w:rsidRPr="00E27C6A">
        <w:rPr>
          <w:rFonts w:ascii="Times New Roman" w:hAnsi="Times New Roman" w:cs="Times New Roman"/>
        </w:rPr>
        <w:t>i) az állam határain belüli szabad mozgás és letelepedés joga;</w:t>
      </w:r>
    </w:p>
    <w:p w:rsidR="00E27C6A" w:rsidRPr="00E27C6A" w:rsidRDefault="00E27C6A" w:rsidP="00E27C6A">
      <w:pPr>
        <w:spacing w:line="240" w:lineRule="auto"/>
        <w:jc w:val="both"/>
        <w:rPr>
          <w:rFonts w:ascii="Times New Roman" w:hAnsi="Times New Roman" w:cs="Times New Roman"/>
        </w:rPr>
      </w:pPr>
      <w:r w:rsidRPr="00E27C6A">
        <w:rPr>
          <w:rFonts w:ascii="Times New Roman" w:hAnsi="Times New Roman" w:cs="Times New Roman"/>
        </w:rPr>
        <w:t>ii) bármely ország - a saját országot is beleértve - elhagyásának és a saját országba való visszatérésnek a joga;</w:t>
      </w:r>
    </w:p>
    <w:p w:rsidR="00E27C6A" w:rsidRPr="00E27C6A" w:rsidRDefault="00E27C6A" w:rsidP="00E27C6A">
      <w:pPr>
        <w:spacing w:line="240" w:lineRule="auto"/>
        <w:jc w:val="both"/>
        <w:rPr>
          <w:rFonts w:ascii="Times New Roman" w:hAnsi="Times New Roman" w:cs="Times New Roman"/>
        </w:rPr>
      </w:pPr>
      <w:r w:rsidRPr="00E27C6A">
        <w:rPr>
          <w:rFonts w:ascii="Times New Roman" w:hAnsi="Times New Roman" w:cs="Times New Roman"/>
        </w:rPr>
        <w:t>iii) az állampolgársághoz való jog;</w:t>
      </w:r>
    </w:p>
    <w:p w:rsidR="00E27C6A" w:rsidRPr="00E27C6A" w:rsidRDefault="00E27C6A" w:rsidP="00E27C6A">
      <w:pPr>
        <w:spacing w:line="240" w:lineRule="auto"/>
        <w:jc w:val="both"/>
        <w:rPr>
          <w:rFonts w:ascii="Times New Roman" w:hAnsi="Times New Roman" w:cs="Times New Roman"/>
        </w:rPr>
      </w:pPr>
      <w:r w:rsidRPr="00E27C6A">
        <w:rPr>
          <w:rFonts w:ascii="Times New Roman" w:hAnsi="Times New Roman" w:cs="Times New Roman"/>
        </w:rPr>
        <w:t>iv) a házassághoz és a házastárs megválasztásához való jog;</w:t>
      </w:r>
    </w:p>
    <w:p w:rsidR="00E27C6A" w:rsidRPr="00E27C6A" w:rsidRDefault="00E27C6A" w:rsidP="00E27C6A">
      <w:pPr>
        <w:spacing w:line="240" w:lineRule="auto"/>
        <w:jc w:val="both"/>
        <w:rPr>
          <w:rFonts w:ascii="Times New Roman" w:hAnsi="Times New Roman" w:cs="Times New Roman"/>
        </w:rPr>
      </w:pPr>
      <w:r w:rsidRPr="00E27C6A">
        <w:rPr>
          <w:rFonts w:ascii="Times New Roman" w:hAnsi="Times New Roman" w:cs="Times New Roman"/>
        </w:rPr>
        <w:t>v) tulajdonnak egyedül, valamint másokkal társulva való birtoklásának a joga;</w:t>
      </w:r>
    </w:p>
    <w:p w:rsidR="00E27C6A" w:rsidRPr="00E27C6A" w:rsidRDefault="00E27C6A" w:rsidP="00E27C6A">
      <w:pPr>
        <w:spacing w:line="240" w:lineRule="auto"/>
        <w:jc w:val="both"/>
        <w:rPr>
          <w:rFonts w:ascii="Times New Roman" w:hAnsi="Times New Roman" w:cs="Times New Roman"/>
        </w:rPr>
      </w:pPr>
      <w:r w:rsidRPr="00E27C6A">
        <w:rPr>
          <w:rFonts w:ascii="Times New Roman" w:hAnsi="Times New Roman" w:cs="Times New Roman"/>
        </w:rPr>
        <w:t>vi) öröklési jog;</w:t>
      </w:r>
    </w:p>
    <w:p w:rsidR="00E27C6A" w:rsidRPr="00E27C6A" w:rsidRDefault="00E27C6A" w:rsidP="00E27C6A">
      <w:pPr>
        <w:spacing w:line="240" w:lineRule="auto"/>
        <w:jc w:val="both"/>
        <w:rPr>
          <w:rFonts w:ascii="Times New Roman" w:hAnsi="Times New Roman" w:cs="Times New Roman"/>
        </w:rPr>
      </w:pPr>
      <w:r w:rsidRPr="00E27C6A">
        <w:rPr>
          <w:rFonts w:ascii="Times New Roman" w:hAnsi="Times New Roman" w:cs="Times New Roman"/>
        </w:rPr>
        <w:t>vii) a gondolat-, lelkiismereti és vallásszabadsághoz való jog;</w:t>
      </w:r>
    </w:p>
    <w:p w:rsidR="00E27C6A" w:rsidRPr="00E27C6A" w:rsidRDefault="00E27C6A" w:rsidP="00E27C6A">
      <w:pPr>
        <w:spacing w:line="240" w:lineRule="auto"/>
        <w:jc w:val="both"/>
        <w:rPr>
          <w:rFonts w:ascii="Times New Roman" w:hAnsi="Times New Roman" w:cs="Times New Roman"/>
        </w:rPr>
      </w:pPr>
      <w:r w:rsidRPr="00E27C6A">
        <w:rPr>
          <w:rFonts w:ascii="Times New Roman" w:hAnsi="Times New Roman" w:cs="Times New Roman"/>
        </w:rPr>
        <w:t>viii) a szabad véleményalkotás és véleménynyilvánítás joga;</w:t>
      </w:r>
    </w:p>
    <w:p w:rsidR="00E27C6A" w:rsidRPr="00E27C6A" w:rsidRDefault="00E27C6A" w:rsidP="00E27C6A">
      <w:pPr>
        <w:spacing w:line="240" w:lineRule="auto"/>
        <w:jc w:val="both"/>
        <w:rPr>
          <w:rFonts w:ascii="Times New Roman" w:hAnsi="Times New Roman" w:cs="Times New Roman"/>
        </w:rPr>
      </w:pPr>
      <w:r w:rsidRPr="00E27C6A">
        <w:rPr>
          <w:rFonts w:ascii="Times New Roman" w:hAnsi="Times New Roman" w:cs="Times New Roman"/>
        </w:rPr>
        <w:t>ix) a békés gyülekezés és egyesülés szabadságához való jog;</w:t>
      </w:r>
    </w:p>
    <w:p w:rsidR="00E27C6A" w:rsidRPr="00E27C6A" w:rsidRDefault="00E27C6A" w:rsidP="00E27C6A">
      <w:pPr>
        <w:spacing w:line="240" w:lineRule="auto"/>
        <w:jc w:val="both"/>
        <w:rPr>
          <w:rFonts w:ascii="Times New Roman" w:hAnsi="Times New Roman" w:cs="Times New Roman"/>
        </w:rPr>
      </w:pPr>
      <w:proofErr w:type="gramStart"/>
      <w:r w:rsidRPr="00E27C6A">
        <w:rPr>
          <w:rFonts w:ascii="Times New Roman" w:hAnsi="Times New Roman" w:cs="Times New Roman"/>
        </w:rPr>
        <w:t>e</w:t>
      </w:r>
      <w:proofErr w:type="gramEnd"/>
      <w:r w:rsidRPr="00E27C6A">
        <w:rPr>
          <w:rFonts w:ascii="Times New Roman" w:hAnsi="Times New Roman" w:cs="Times New Roman"/>
        </w:rPr>
        <w:t>) Gazdasági, társadalmi és kulturális jogok, különösen:</w:t>
      </w:r>
    </w:p>
    <w:p w:rsidR="00E27C6A" w:rsidRPr="00E27C6A" w:rsidRDefault="00E27C6A" w:rsidP="00E27C6A">
      <w:pPr>
        <w:spacing w:line="240" w:lineRule="auto"/>
        <w:jc w:val="both"/>
        <w:rPr>
          <w:rFonts w:ascii="Times New Roman" w:hAnsi="Times New Roman" w:cs="Times New Roman"/>
        </w:rPr>
      </w:pPr>
      <w:r w:rsidRPr="00E27C6A">
        <w:rPr>
          <w:rFonts w:ascii="Times New Roman" w:hAnsi="Times New Roman" w:cs="Times New Roman"/>
        </w:rPr>
        <w:t>i) a munkához, a munkahely szabad megválasztásához, igazságos és kedvező munkafeltételekhez, a munkanélküliséggel szembeni védelemhez, egyenlő munkáért egyenlő bérhez, igazságos és kedvező bérezéshez való jog;</w:t>
      </w:r>
    </w:p>
    <w:p w:rsidR="00E27C6A" w:rsidRPr="00E27C6A" w:rsidRDefault="00E27C6A" w:rsidP="00E27C6A">
      <w:pPr>
        <w:spacing w:line="240" w:lineRule="auto"/>
        <w:jc w:val="both"/>
        <w:rPr>
          <w:rFonts w:ascii="Times New Roman" w:hAnsi="Times New Roman" w:cs="Times New Roman"/>
        </w:rPr>
      </w:pPr>
      <w:r w:rsidRPr="00E27C6A">
        <w:rPr>
          <w:rFonts w:ascii="Times New Roman" w:hAnsi="Times New Roman" w:cs="Times New Roman"/>
        </w:rPr>
        <w:t>ii) szakszervezetek alakításának és ezekhez való csatlakozásnak a joga;</w:t>
      </w:r>
    </w:p>
    <w:p w:rsidR="00E27C6A" w:rsidRPr="00E27C6A" w:rsidRDefault="00E27C6A" w:rsidP="00E27C6A">
      <w:pPr>
        <w:spacing w:line="240" w:lineRule="auto"/>
        <w:jc w:val="both"/>
        <w:rPr>
          <w:rFonts w:ascii="Times New Roman" w:hAnsi="Times New Roman" w:cs="Times New Roman"/>
        </w:rPr>
      </w:pPr>
      <w:r w:rsidRPr="00E27C6A">
        <w:rPr>
          <w:rFonts w:ascii="Times New Roman" w:hAnsi="Times New Roman" w:cs="Times New Roman"/>
        </w:rPr>
        <w:t>iii) lakáshoz való jog;</w:t>
      </w:r>
    </w:p>
    <w:p w:rsidR="00E27C6A" w:rsidRPr="00E27C6A" w:rsidRDefault="00E27C6A" w:rsidP="00E27C6A">
      <w:pPr>
        <w:spacing w:line="240" w:lineRule="auto"/>
        <w:jc w:val="both"/>
        <w:rPr>
          <w:rFonts w:ascii="Times New Roman" w:hAnsi="Times New Roman" w:cs="Times New Roman"/>
        </w:rPr>
      </w:pPr>
      <w:r w:rsidRPr="00E27C6A">
        <w:rPr>
          <w:rFonts w:ascii="Times New Roman" w:hAnsi="Times New Roman" w:cs="Times New Roman"/>
        </w:rPr>
        <w:t>iv) egészségügyi ellátáshoz, orvosi kezeléshez, társadalombiztosításhoz és szociális szolgáltatásokhoz való jog;</w:t>
      </w:r>
    </w:p>
    <w:p w:rsidR="00E27C6A" w:rsidRPr="00E27C6A" w:rsidRDefault="00E27C6A" w:rsidP="00E27C6A">
      <w:pPr>
        <w:spacing w:line="240" w:lineRule="auto"/>
        <w:jc w:val="both"/>
        <w:rPr>
          <w:rFonts w:ascii="Times New Roman" w:hAnsi="Times New Roman" w:cs="Times New Roman"/>
        </w:rPr>
      </w:pPr>
      <w:r w:rsidRPr="00E27C6A">
        <w:rPr>
          <w:rFonts w:ascii="Times New Roman" w:hAnsi="Times New Roman" w:cs="Times New Roman"/>
        </w:rPr>
        <w:t>v) az általános és szakoktatáshoz való jog;</w:t>
      </w:r>
    </w:p>
    <w:p w:rsidR="00E27C6A" w:rsidRPr="00E27C6A" w:rsidRDefault="00E27C6A" w:rsidP="00E27C6A">
      <w:pPr>
        <w:spacing w:line="240" w:lineRule="auto"/>
        <w:jc w:val="both"/>
        <w:rPr>
          <w:rFonts w:ascii="Times New Roman" w:hAnsi="Times New Roman" w:cs="Times New Roman"/>
        </w:rPr>
      </w:pPr>
      <w:r w:rsidRPr="00E27C6A">
        <w:rPr>
          <w:rFonts w:ascii="Times New Roman" w:hAnsi="Times New Roman" w:cs="Times New Roman"/>
        </w:rPr>
        <w:t>vi) a kulturális tevékenységben való egyenlő részvétel joga;</w:t>
      </w:r>
    </w:p>
    <w:p w:rsidR="00E27C6A" w:rsidRPr="00E27C6A" w:rsidRDefault="00E27C6A" w:rsidP="00E27C6A">
      <w:pPr>
        <w:spacing w:line="240" w:lineRule="auto"/>
        <w:jc w:val="both"/>
        <w:rPr>
          <w:rFonts w:ascii="Times New Roman" w:hAnsi="Times New Roman" w:cs="Times New Roman"/>
        </w:rPr>
      </w:pPr>
      <w:proofErr w:type="gramStart"/>
      <w:r w:rsidRPr="00E27C6A">
        <w:rPr>
          <w:rFonts w:ascii="Times New Roman" w:hAnsi="Times New Roman" w:cs="Times New Roman"/>
        </w:rPr>
        <w:lastRenderedPageBreak/>
        <w:t>f</w:t>
      </w:r>
      <w:proofErr w:type="gramEnd"/>
      <w:r w:rsidRPr="00E27C6A">
        <w:rPr>
          <w:rFonts w:ascii="Times New Roman" w:hAnsi="Times New Roman" w:cs="Times New Roman"/>
        </w:rPr>
        <w:t>) A nagyközönség céljára szolgáló minden olyan hely vagy szolgáltatás igénybevételéhez való jog, mint közlekedés, szállodák, éttermek, kávéházak, színházak, közterek.</w:t>
      </w:r>
    </w:p>
    <w:p w:rsidR="00CA3598" w:rsidRPr="00653AE5" w:rsidRDefault="00CA3598" w:rsidP="00CA3598">
      <w:pPr>
        <w:spacing w:after="0" w:line="240" w:lineRule="auto"/>
      </w:pPr>
    </w:p>
    <w:tbl>
      <w:tblPr>
        <w:tblStyle w:val="Vilgoslista2jellszn"/>
        <w:tblW w:w="0" w:type="auto"/>
        <w:tblLook w:val="04A0" w:firstRow="1" w:lastRow="0" w:firstColumn="1" w:lastColumn="0" w:noHBand="0" w:noVBand="1"/>
      </w:tblPr>
      <w:tblGrid>
        <w:gridCol w:w="8516"/>
      </w:tblGrid>
      <w:tr w:rsidR="00CA3598" w:rsidRPr="00653AE5" w:rsidTr="00D23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rsidR="00CA3598" w:rsidRPr="00653AE5" w:rsidRDefault="00D82DFB" w:rsidP="00CA3598">
            <w:pPr>
              <w:widowControl w:val="0"/>
              <w:tabs>
                <w:tab w:val="left" w:pos="0"/>
                <w:tab w:val="left" w:pos="220"/>
              </w:tabs>
              <w:autoSpaceDE w:val="0"/>
              <w:autoSpaceDN w:val="0"/>
              <w:adjustRightInd w:val="0"/>
              <w:spacing w:after="213"/>
              <w:rPr>
                <w:rFonts w:ascii="Verdana" w:hAnsi="Verdana" w:cs="Times"/>
                <w:i/>
                <w:iCs/>
                <w:sz w:val="19"/>
                <w:szCs w:val="19"/>
                <w:u w:val="single"/>
                <w:lang w:val="hu-HU"/>
              </w:rPr>
            </w:pPr>
            <w:r>
              <w:rPr>
                <w:rFonts w:ascii="Verdana" w:hAnsi="Verdana" w:cs="Times"/>
                <w:i/>
                <w:iCs/>
                <w:sz w:val="19"/>
                <w:szCs w:val="19"/>
                <w:u w:val="single"/>
                <w:lang w:val="hu-HU"/>
              </w:rPr>
              <w:t>Ellenőrző testület</w:t>
            </w:r>
          </w:p>
          <w:p w:rsidR="00CA3598" w:rsidRPr="00653AE5" w:rsidRDefault="00CA3598" w:rsidP="00CA3598">
            <w:pPr>
              <w:widowControl w:val="0"/>
              <w:tabs>
                <w:tab w:val="left" w:pos="0"/>
                <w:tab w:val="left" w:pos="220"/>
              </w:tabs>
              <w:autoSpaceDE w:val="0"/>
              <w:autoSpaceDN w:val="0"/>
              <w:adjustRightInd w:val="0"/>
              <w:spacing w:after="213"/>
              <w:rPr>
                <w:rFonts w:ascii="Verdana" w:hAnsi="Verdana" w:cs="Times"/>
                <w:i/>
                <w:iCs/>
                <w:sz w:val="19"/>
                <w:szCs w:val="19"/>
                <w:lang w:val="hu-HU"/>
              </w:rPr>
            </w:pPr>
            <w:r w:rsidRPr="00653AE5">
              <w:rPr>
                <w:rFonts w:ascii="Verdana" w:hAnsi="Verdana" w:cs="Times"/>
                <w:i/>
                <w:iCs/>
                <w:sz w:val="19"/>
                <w:szCs w:val="19"/>
                <w:lang w:val="hu-HU"/>
              </w:rPr>
              <w:tab/>
            </w:r>
            <w:r w:rsidR="00A96A57">
              <w:rPr>
                <w:rFonts w:ascii="Verdana" w:hAnsi="Verdana" w:cs="Times"/>
                <w:i/>
                <w:iCs/>
                <w:sz w:val="19"/>
                <w:szCs w:val="19"/>
                <w:lang w:val="hu-HU"/>
              </w:rPr>
              <w:t xml:space="preserve">A Faji Megkülönböztetés Felszámolásával Foglalkozó Bizottság </w:t>
            </w:r>
            <w:r w:rsidRPr="00653AE5">
              <w:rPr>
                <w:rFonts w:ascii="Verdana" w:hAnsi="Verdana" w:cs="Times"/>
                <w:i/>
                <w:iCs/>
                <w:sz w:val="19"/>
                <w:szCs w:val="19"/>
                <w:lang w:val="hu-HU"/>
              </w:rPr>
              <w:t xml:space="preserve">(CERD) </w:t>
            </w:r>
            <w:r w:rsidR="00A96A57">
              <w:rPr>
                <w:rFonts w:ascii="Verdana" w:hAnsi="Verdana" w:cs="Times"/>
                <w:i/>
                <w:iCs/>
                <w:sz w:val="19"/>
                <w:szCs w:val="19"/>
                <w:lang w:val="hu-HU"/>
              </w:rPr>
              <w:t xml:space="preserve">az a független szakértőkből álló testület, amely azt ellenőrzi, hogy a részes államok hogyan hajtják végre a </w:t>
            </w:r>
            <w:r w:rsidR="00A96A57" w:rsidRPr="00A96A57">
              <w:rPr>
                <w:rFonts w:ascii="Verdana" w:hAnsi="Verdana" w:cs="Times"/>
                <w:i/>
                <w:iCs/>
                <w:sz w:val="19"/>
                <w:szCs w:val="19"/>
                <w:lang w:val="hu-HU"/>
              </w:rPr>
              <w:t>Nemzetközi Egyezmény</w:t>
            </w:r>
            <w:r w:rsidR="00A96A57">
              <w:rPr>
                <w:rFonts w:ascii="Verdana" w:hAnsi="Verdana" w:cs="Times"/>
                <w:i/>
                <w:iCs/>
                <w:sz w:val="19"/>
                <w:szCs w:val="19"/>
                <w:lang w:val="hu-HU"/>
              </w:rPr>
              <w:t>t</w:t>
            </w:r>
            <w:r w:rsidR="00A96A57" w:rsidRPr="00A96A57">
              <w:rPr>
                <w:rFonts w:ascii="Verdana" w:hAnsi="Verdana" w:cs="Times"/>
                <w:i/>
                <w:iCs/>
                <w:sz w:val="19"/>
                <w:szCs w:val="19"/>
                <w:lang w:val="hu-HU"/>
              </w:rPr>
              <w:t xml:space="preserve"> a Faji Megkülönböztetés Valamennyi Formájának Kiküszöböléséről</w:t>
            </w:r>
            <w:r w:rsidRPr="00653AE5">
              <w:rPr>
                <w:rFonts w:ascii="Verdana" w:hAnsi="Verdana" w:cs="Times"/>
                <w:i/>
                <w:iCs/>
                <w:sz w:val="19"/>
                <w:szCs w:val="19"/>
                <w:lang w:val="hu-HU"/>
              </w:rPr>
              <w:t>.</w:t>
            </w:r>
          </w:p>
          <w:p w:rsidR="00A96A57" w:rsidRPr="00A96A57" w:rsidRDefault="00A96A57" w:rsidP="00A96A57">
            <w:pPr>
              <w:widowControl w:val="0"/>
              <w:tabs>
                <w:tab w:val="left" w:pos="0"/>
                <w:tab w:val="left" w:pos="220"/>
              </w:tabs>
              <w:autoSpaceDE w:val="0"/>
              <w:autoSpaceDN w:val="0"/>
              <w:adjustRightInd w:val="0"/>
              <w:spacing w:after="213"/>
              <w:rPr>
                <w:rFonts w:ascii="Verdana" w:hAnsi="Verdana" w:cs="Times"/>
                <w:i/>
                <w:sz w:val="19"/>
                <w:szCs w:val="19"/>
                <w:lang w:val="hu-HU"/>
              </w:rPr>
            </w:pPr>
            <w:r w:rsidRPr="00A96A57">
              <w:rPr>
                <w:rFonts w:ascii="Verdana" w:hAnsi="Verdana" w:cs="Times"/>
                <w:i/>
                <w:sz w:val="19"/>
                <w:szCs w:val="19"/>
                <w:lang w:val="hu-HU"/>
              </w:rPr>
              <w:t>Valamennyi részes állam köteles rendszeres jelentéseket benyújtani a Bizottságnak arról, hogy hogyan érvényesítik ajogokat. Az államok az Egyez</w:t>
            </w:r>
            <w:r>
              <w:rPr>
                <w:rFonts w:ascii="Verdana" w:hAnsi="Verdana" w:cs="Times"/>
                <w:i/>
                <w:sz w:val="19"/>
                <w:szCs w:val="19"/>
                <w:lang w:val="hu-HU"/>
              </w:rPr>
              <w:t>ményhez</w:t>
            </w:r>
            <w:r w:rsidRPr="00A96A57">
              <w:rPr>
                <w:rFonts w:ascii="Verdana" w:hAnsi="Verdana" w:cs="Times"/>
                <w:i/>
                <w:sz w:val="19"/>
                <w:szCs w:val="19"/>
                <w:lang w:val="hu-HU"/>
              </w:rPr>
              <w:t xml:space="preserve"> való csatlakozásuk után egy évvel kötelesek az első jelentést benyújtani, azt követően minden </w:t>
            </w:r>
            <w:r>
              <w:rPr>
                <w:rFonts w:ascii="Verdana" w:hAnsi="Verdana" w:cs="Times"/>
                <w:i/>
                <w:sz w:val="19"/>
                <w:szCs w:val="19"/>
                <w:lang w:val="hu-HU"/>
              </w:rPr>
              <w:t xml:space="preserve">második évben kötelesen jelentést tenni. </w:t>
            </w:r>
            <w:r w:rsidRPr="00A96A57">
              <w:rPr>
                <w:rFonts w:ascii="Verdana" w:hAnsi="Verdana" w:cs="Times"/>
                <w:i/>
                <w:sz w:val="19"/>
                <w:szCs w:val="19"/>
                <w:lang w:val="hu-HU"/>
              </w:rPr>
              <w:t xml:space="preserve">A Bizottság minden egyes jelentést megvizsgál és eljuttatja a részes államokhoz az </w:t>
            </w:r>
            <w:r w:rsidR="009606F9">
              <w:rPr>
                <w:rFonts w:ascii="Verdana" w:hAnsi="Verdana" w:cs="Times"/>
                <w:i/>
                <w:sz w:val="19"/>
                <w:szCs w:val="19"/>
                <w:lang w:val="hu-HU"/>
              </w:rPr>
              <w:t>kérdései</w:t>
            </w:r>
            <w:r w:rsidRPr="00A96A57">
              <w:rPr>
                <w:rFonts w:ascii="Verdana" w:hAnsi="Verdana" w:cs="Times"/>
                <w:i/>
                <w:sz w:val="19"/>
                <w:szCs w:val="19"/>
                <w:lang w:val="hu-HU"/>
              </w:rPr>
              <w:t>t és javaslat</w:t>
            </w:r>
            <w:r w:rsidR="009606F9">
              <w:rPr>
                <w:rFonts w:ascii="Verdana" w:hAnsi="Verdana" w:cs="Times"/>
                <w:i/>
                <w:sz w:val="19"/>
                <w:szCs w:val="19"/>
                <w:lang w:val="hu-HU"/>
              </w:rPr>
              <w:t>ait</w:t>
            </w:r>
            <w:r w:rsidRPr="00A96A57">
              <w:rPr>
                <w:rFonts w:ascii="Verdana" w:hAnsi="Verdana" w:cs="Times"/>
                <w:i/>
                <w:sz w:val="19"/>
                <w:szCs w:val="19"/>
                <w:lang w:val="hu-HU"/>
              </w:rPr>
              <w:t xml:space="preserve"> az úgynevezett „záró megjegyzések” formájában.</w:t>
            </w:r>
          </w:p>
          <w:p w:rsidR="00A96A57" w:rsidRPr="00653AE5" w:rsidRDefault="00A96A57" w:rsidP="00A96A57">
            <w:pPr>
              <w:widowControl w:val="0"/>
              <w:tabs>
                <w:tab w:val="left" w:pos="0"/>
                <w:tab w:val="left" w:pos="220"/>
              </w:tabs>
              <w:autoSpaceDE w:val="0"/>
              <w:autoSpaceDN w:val="0"/>
              <w:adjustRightInd w:val="0"/>
              <w:spacing w:after="213"/>
              <w:rPr>
                <w:rFonts w:ascii="Verdana" w:hAnsi="Verdana" w:cs="Times"/>
                <w:i/>
                <w:iCs/>
                <w:sz w:val="19"/>
                <w:szCs w:val="19"/>
                <w:u w:val="single"/>
                <w:lang w:val="hu-HU"/>
              </w:rPr>
            </w:pPr>
            <w:r>
              <w:rPr>
                <w:rFonts w:ascii="Verdana" w:hAnsi="Verdana" w:cs="Times"/>
                <w:i/>
                <w:iCs/>
                <w:sz w:val="19"/>
                <w:szCs w:val="19"/>
                <w:u w:val="single"/>
                <w:lang w:val="hu-HU"/>
              </w:rPr>
              <w:t>Egyéni panaszok</w:t>
            </w:r>
          </w:p>
          <w:p w:rsidR="00CA3598" w:rsidRPr="00A96A57" w:rsidRDefault="00A96A57" w:rsidP="00CA3598">
            <w:pPr>
              <w:widowControl w:val="0"/>
              <w:tabs>
                <w:tab w:val="left" w:pos="0"/>
                <w:tab w:val="left" w:pos="220"/>
              </w:tabs>
              <w:autoSpaceDE w:val="0"/>
              <w:autoSpaceDN w:val="0"/>
              <w:adjustRightInd w:val="0"/>
              <w:spacing w:after="213"/>
              <w:rPr>
                <w:rFonts w:ascii="Verdana" w:hAnsi="Verdana" w:cs="Times"/>
                <w:b w:val="0"/>
                <w:bCs w:val="0"/>
                <w:i/>
                <w:sz w:val="19"/>
                <w:szCs w:val="19"/>
                <w:lang w:val="hu-HU"/>
              </w:rPr>
            </w:pPr>
            <w:r w:rsidRPr="00A96A57">
              <w:rPr>
                <w:rFonts w:ascii="Verdana" w:hAnsi="Verdana" w:cs="Times"/>
                <w:i/>
                <w:sz w:val="19"/>
                <w:szCs w:val="19"/>
                <w:lang w:val="hu-HU"/>
              </w:rPr>
              <w:tab/>
              <w:t xml:space="preserve">A </w:t>
            </w:r>
            <w:r w:rsidRPr="00A96A57">
              <w:rPr>
                <w:rFonts w:ascii="Verdana" w:hAnsi="Verdana" w:cs="Times"/>
                <w:i/>
                <w:iCs/>
                <w:sz w:val="19"/>
                <w:szCs w:val="19"/>
                <w:lang w:val="hu-HU"/>
              </w:rPr>
              <w:t>Faji Megkülönböztetés Felszámolásával Foglalkozó Bizottság (CERD)</w:t>
            </w:r>
            <w:r>
              <w:rPr>
                <w:rFonts w:ascii="Verdana" w:hAnsi="Verdana" w:cs="Times"/>
                <w:i/>
                <w:iCs/>
                <w:sz w:val="19"/>
                <w:szCs w:val="19"/>
                <w:lang w:val="hu-HU"/>
              </w:rPr>
              <w:t xml:space="preserve"> az Egyezmény </w:t>
            </w:r>
            <w:r>
              <w:rPr>
                <w:rFonts w:ascii="Verdana" w:hAnsi="Verdana" w:cs="Times"/>
                <w:i/>
                <w:sz w:val="19"/>
                <w:szCs w:val="19"/>
                <w:lang w:val="hu-HU"/>
              </w:rPr>
              <w:t>14. cikkében szereplő minden szükséges nyilatkozatot megtevő</w:t>
            </w:r>
            <w:r w:rsidRPr="00A96A57">
              <w:rPr>
                <w:rFonts w:ascii="Verdana" w:hAnsi="Verdana" w:cs="Times"/>
                <w:i/>
                <w:sz w:val="19"/>
                <w:szCs w:val="19"/>
                <w:lang w:val="hu-HU"/>
              </w:rPr>
              <w:t xml:space="preserve"> részes </w:t>
            </w:r>
            <w:proofErr w:type="spellStart"/>
            <w:r w:rsidRPr="00A96A57">
              <w:rPr>
                <w:rFonts w:ascii="Verdana" w:hAnsi="Verdana" w:cs="Times"/>
                <w:i/>
                <w:sz w:val="19"/>
                <w:szCs w:val="19"/>
                <w:lang w:val="hu-HU"/>
              </w:rPr>
              <w:t>állam</w:t>
            </w:r>
            <w:r>
              <w:rPr>
                <w:rFonts w:ascii="Verdana" w:hAnsi="Verdana" w:cs="Times"/>
                <w:i/>
                <w:sz w:val="19"/>
                <w:szCs w:val="19"/>
                <w:lang w:val="hu-HU"/>
              </w:rPr>
              <w:t>okaz</w:t>
            </w:r>
            <w:proofErr w:type="spellEnd"/>
            <w:r>
              <w:rPr>
                <w:rFonts w:ascii="Verdana" w:hAnsi="Verdana" w:cs="Times"/>
                <w:i/>
                <w:sz w:val="19"/>
                <w:szCs w:val="19"/>
                <w:lang w:val="hu-HU"/>
              </w:rPr>
              <w:t xml:space="preserve"> </w:t>
            </w:r>
            <w:r w:rsidRPr="00A96A57">
              <w:rPr>
                <w:rFonts w:ascii="Verdana" w:hAnsi="Verdana" w:cs="Times"/>
                <w:i/>
                <w:iCs/>
                <w:sz w:val="19"/>
                <w:szCs w:val="19"/>
                <w:lang w:val="hu-HU"/>
              </w:rPr>
              <w:t>Egyezmény</w:t>
            </w:r>
            <w:r>
              <w:rPr>
                <w:rFonts w:ascii="Verdana" w:hAnsi="Verdana" w:cs="Times"/>
                <w:i/>
                <w:iCs/>
                <w:sz w:val="19"/>
                <w:szCs w:val="19"/>
                <w:lang w:val="hu-HU"/>
              </w:rPr>
              <w:t>ben szer</w:t>
            </w:r>
            <w:r w:rsidR="0090750C">
              <w:rPr>
                <w:rFonts w:ascii="Verdana" w:hAnsi="Verdana" w:cs="Times"/>
                <w:i/>
                <w:iCs/>
                <w:sz w:val="19"/>
                <w:szCs w:val="19"/>
                <w:lang w:val="hu-HU"/>
              </w:rPr>
              <w:t>e</w:t>
            </w:r>
            <w:r>
              <w:rPr>
                <w:rFonts w:ascii="Verdana" w:hAnsi="Verdana" w:cs="Times"/>
                <w:i/>
                <w:iCs/>
                <w:sz w:val="19"/>
                <w:szCs w:val="19"/>
                <w:lang w:val="hu-HU"/>
              </w:rPr>
              <w:t>plő jogok</w:t>
            </w:r>
            <w:r w:rsidRPr="00A96A57">
              <w:rPr>
                <w:rFonts w:ascii="Verdana" w:hAnsi="Verdana" w:cs="Times"/>
                <w:i/>
                <w:sz w:val="19"/>
                <w:szCs w:val="19"/>
                <w:lang w:val="hu-HU"/>
              </w:rPr>
              <w:t xml:space="preserve"> megsértésére vonatkozó egyéni megkeresésivel is foglalkozhat</w:t>
            </w:r>
            <w:r w:rsidR="00CA3598" w:rsidRPr="00653AE5">
              <w:rPr>
                <w:rFonts w:ascii="Verdana" w:hAnsi="Verdana" w:cs="Times"/>
                <w:i/>
                <w:iCs/>
                <w:sz w:val="19"/>
                <w:szCs w:val="19"/>
                <w:lang w:val="hu-HU"/>
              </w:rPr>
              <w:t>.</w:t>
            </w:r>
            <w:r w:rsidR="00CA3598" w:rsidRPr="00653AE5">
              <w:rPr>
                <w:rFonts w:ascii="Verdana" w:hAnsi="Verdana" w:cs="Times"/>
                <w:i/>
                <w:iCs/>
                <w:sz w:val="19"/>
                <w:szCs w:val="19"/>
                <w:vertAlign w:val="superscript"/>
                <w:lang w:val="hu-HU"/>
              </w:rPr>
              <w:footnoteReference w:id="38"/>
            </w:r>
          </w:p>
        </w:tc>
      </w:tr>
    </w:tbl>
    <w:p w:rsidR="00CA3598" w:rsidRPr="00653AE5" w:rsidRDefault="00CA3598" w:rsidP="00CA3598">
      <w:pPr>
        <w:spacing w:after="0" w:line="240" w:lineRule="auto"/>
      </w:pPr>
    </w:p>
    <w:p w:rsidR="00CA3598" w:rsidRPr="00653AE5" w:rsidRDefault="00CA3598" w:rsidP="00CA3598"/>
    <w:p w:rsidR="00CA3598" w:rsidRPr="00653AE5" w:rsidRDefault="008541CA" w:rsidP="00CA3598">
      <w:pPr>
        <w:pStyle w:val="Cmsor2"/>
      </w:pPr>
      <w:bookmarkStart w:id="24" w:name="_Toc346544866"/>
      <w:bookmarkStart w:id="25" w:name="_Toc346570271"/>
      <w:bookmarkStart w:id="26" w:name="_Toc515458784"/>
      <w:r w:rsidRPr="00653AE5">
        <w:t>4.</w:t>
      </w:r>
      <w:r w:rsidR="00CA3598" w:rsidRPr="00653AE5">
        <w:t>2. Eur</w:t>
      </w:r>
      <w:bookmarkEnd w:id="24"/>
      <w:bookmarkEnd w:id="25"/>
      <w:r w:rsidR="0011272E" w:rsidRPr="00653AE5">
        <w:t xml:space="preserve">ópai </w:t>
      </w:r>
      <w:r w:rsidR="0090750C">
        <w:t>normatív környezet</w:t>
      </w:r>
      <w:bookmarkEnd w:id="26"/>
    </w:p>
    <w:p w:rsidR="00CA3598" w:rsidRPr="00653AE5" w:rsidRDefault="008541CA" w:rsidP="00CA3598">
      <w:pPr>
        <w:pStyle w:val="Cmsor3"/>
      </w:pPr>
      <w:bookmarkStart w:id="27" w:name="_Toc346544867"/>
      <w:bookmarkStart w:id="28" w:name="_Toc346570272"/>
      <w:bookmarkStart w:id="29" w:name="_Toc515458785"/>
      <w:r w:rsidRPr="00653AE5">
        <w:t>4.</w:t>
      </w:r>
      <w:r w:rsidR="00CA3598" w:rsidRPr="00653AE5">
        <w:t>2.1. Eur</w:t>
      </w:r>
      <w:r w:rsidR="0011272E" w:rsidRPr="00653AE5">
        <w:t>ópai Unió</w:t>
      </w:r>
      <w:bookmarkEnd w:id="27"/>
      <w:bookmarkEnd w:id="28"/>
      <w:bookmarkEnd w:id="29"/>
    </w:p>
    <w:p w:rsidR="00CA3598" w:rsidRPr="00653AE5" w:rsidRDefault="008541CA" w:rsidP="00CA3598">
      <w:pPr>
        <w:pStyle w:val="Cmsor4"/>
      </w:pPr>
      <w:bookmarkStart w:id="30" w:name="_Toc346570273"/>
      <w:r w:rsidRPr="00653AE5">
        <w:t>4.</w:t>
      </w:r>
      <w:r w:rsidR="00CA3598" w:rsidRPr="00653AE5">
        <w:t>2.1.</w:t>
      </w:r>
      <w:proofErr w:type="gramStart"/>
      <w:r w:rsidR="00CA3598" w:rsidRPr="00653AE5">
        <w:t>a</w:t>
      </w:r>
      <w:proofErr w:type="gramEnd"/>
      <w:r w:rsidR="00CA3598" w:rsidRPr="00653AE5">
        <w:t xml:space="preserve"> </w:t>
      </w:r>
      <w:r w:rsidR="00626229">
        <w:t xml:space="preserve">Az Európai Unió működéséről szóló szerződés (EUMSZ) </w:t>
      </w:r>
      <w:r w:rsidR="00CA3598" w:rsidRPr="00653AE5">
        <w:t>67</w:t>
      </w:r>
      <w:r w:rsidR="00626229">
        <w:t xml:space="preserve">. cikk </w:t>
      </w:r>
      <w:r w:rsidR="00CA3598" w:rsidRPr="00653AE5">
        <w:t xml:space="preserve">(3) </w:t>
      </w:r>
      <w:r w:rsidR="00626229">
        <w:t xml:space="preserve">pontja </w:t>
      </w:r>
      <w:r w:rsidR="00CA3598" w:rsidRPr="00653AE5">
        <w:t>(</w:t>
      </w:r>
      <w:hyperlink r:id="rId29" w:history="1">
        <w:r w:rsidR="00626229" w:rsidRPr="00626229">
          <w:rPr>
            <w:rStyle w:val="Hiperhivatkozs"/>
          </w:rPr>
          <w:t>link</w:t>
        </w:r>
      </w:hyperlink>
      <w:r w:rsidR="00CA3598" w:rsidRPr="00653AE5">
        <w:t>)</w:t>
      </w:r>
      <w:bookmarkEnd w:id="30"/>
    </w:p>
    <w:p w:rsidR="00CA3598" w:rsidRPr="00653AE5" w:rsidRDefault="00CA3598" w:rsidP="00CA3598">
      <w:pPr>
        <w:spacing w:after="0" w:line="240" w:lineRule="auto"/>
      </w:pPr>
    </w:p>
    <w:p w:rsidR="00CA3598" w:rsidRPr="00653AE5" w:rsidRDefault="00626229" w:rsidP="00CA3598">
      <w:pPr>
        <w:jc w:val="both"/>
        <w:rPr>
          <w:rFonts w:ascii="Times New Roman" w:hAnsi="Times New Roman" w:cs="Times New Roman"/>
        </w:rPr>
      </w:pPr>
      <w:r w:rsidRPr="00626229">
        <w:rPr>
          <w:rFonts w:ascii="Times New Roman" w:hAnsi="Times New Roman" w:cs="Times New Roman"/>
        </w:rPr>
        <w:t>Az Unió a bűncselekmények, a rasszizmus és az idegengyűlölet megelőzésére és leküzdésére irányuló intézkedésekkel, valamint a rendőri, az igazságügyi és az egyéb, hatáskörrel rendelkező hatóságok koordinációjára és együttműködésére irányuló intézkedésekkel, továbbá a büntetőügyekben hozott bírósági határozatok kölcsönös elismerése és – amennyiben szükséges – a büntető jogszabályok közelítése révén a biztonság magas szintjének garantálásán munkálkodik.</w:t>
      </w:r>
    </w:p>
    <w:p w:rsidR="00CA3598" w:rsidRPr="00653AE5" w:rsidRDefault="00CA3598" w:rsidP="00CA3598">
      <w:pPr>
        <w:spacing w:after="0" w:line="240" w:lineRule="auto"/>
      </w:pPr>
    </w:p>
    <w:p w:rsidR="00CA3598" w:rsidRPr="003C3647" w:rsidRDefault="008541CA" w:rsidP="003C3647">
      <w:pPr>
        <w:pStyle w:val="doc-ti"/>
        <w:spacing w:before="40" w:beforeAutospacing="0" w:after="0" w:afterAutospacing="0" w:line="276" w:lineRule="auto"/>
        <w:rPr>
          <w:rFonts w:asciiTheme="majorHAnsi" w:eastAsiaTheme="majorEastAsia" w:hAnsiTheme="majorHAnsi" w:cstheme="majorBidi"/>
          <w:i/>
          <w:iCs/>
          <w:color w:val="365F91" w:themeColor="accent1" w:themeShade="BF"/>
          <w:sz w:val="22"/>
          <w:szCs w:val="22"/>
          <w:lang w:eastAsia="ja-JP"/>
        </w:rPr>
      </w:pPr>
      <w:bookmarkStart w:id="31" w:name="_Toc346570274"/>
      <w:r w:rsidRPr="003C3647">
        <w:rPr>
          <w:rFonts w:asciiTheme="majorHAnsi" w:eastAsiaTheme="majorEastAsia" w:hAnsiTheme="majorHAnsi" w:cstheme="majorBidi"/>
          <w:i/>
          <w:iCs/>
          <w:color w:val="365F91" w:themeColor="accent1" w:themeShade="BF"/>
          <w:sz w:val="22"/>
          <w:szCs w:val="22"/>
          <w:lang w:eastAsia="ja-JP"/>
        </w:rPr>
        <w:t>4.</w:t>
      </w:r>
      <w:r w:rsidR="00CA3598" w:rsidRPr="003C3647">
        <w:rPr>
          <w:rFonts w:asciiTheme="majorHAnsi" w:eastAsiaTheme="majorEastAsia" w:hAnsiTheme="majorHAnsi" w:cstheme="majorBidi"/>
          <w:i/>
          <w:iCs/>
          <w:color w:val="365F91" w:themeColor="accent1" w:themeShade="BF"/>
          <w:sz w:val="22"/>
          <w:szCs w:val="22"/>
          <w:lang w:eastAsia="ja-JP"/>
        </w:rPr>
        <w:t xml:space="preserve">2.1.b </w:t>
      </w:r>
      <w:proofErr w:type="gramStart"/>
      <w:r w:rsidR="003C3647" w:rsidRPr="003C3647">
        <w:rPr>
          <w:rFonts w:asciiTheme="majorHAnsi" w:eastAsiaTheme="majorEastAsia" w:hAnsiTheme="majorHAnsi" w:cstheme="majorBidi"/>
          <w:i/>
          <w:iCs/>
          <w:color w:val="365F91" w:themeColor="accent1" w:themeShade="BF"/>
          <w:sz w:val="22"/>
          <w:szCs w:val="22"/>
          <w:lang w:eastAsia="ja-JP"/>
        </w:rPr>
        <w:t>A</w:t>
      </w:r>
      <w:proofErr w:type="gramEnd"/>
      <w:r w:rsidR="003C3647" w:rsidRPr="003C3647">
        <w:rPr>
          <w:rFonts w:asciiTheme="majorHAnsi" w:eastAsiaTheme="majorEastAsia" w:hAnsiTheme="majorHAnsi" w:cstheme="majorBidi"/>
          <w:i/>
          <w:iCs/>
          <w:color w:val="365F91" w:themeColor="accent1" w:themeShade="BF"/>
          <w:sz w:val="22"/>
          <w:szCs w:val="22"/>
          <w:lang w:eastAsia="ja-JP"/>
        </w:rPr>
        <w:t xml:space="preserve"> TANÁCS 2008/913/IB KERETHATÁROZATA(2008. november 28.)a rasszizmus és az idegengyűlölet egyes formái és megnyilvánulásai elleni, büntetőjogi eszközökkel történő küzdelemről</w:t>
      </w:r>
      <w:bookmarkEnd w:id="31"/>
      <w:r w:rsidR="00CA3598" w:rsidRPr="003C3647">
        <w:rPr>
          <w:rFonts w:asciiTheme="majorHAnsi" w:eastAsiaTheme="majorEastAsia" w:hAnsiTheme="majorHAnsi" w:cstheme="majorBidi"/>
          <w:i/>
          <w:iCs/>
          <w:color w:val="365F91" w:themeColor="accent1" w:themeShade="BF"/>
          <w:sz w:val="22"/>
          <w:szCs w:val="22"/>
          <w:lang w:eastAsia="ja-JP"/>
        </w:rPr>
        <w:t>(</w:t>
      </w:r>
      <w:hyperlink r:id="rId30" w:history="1">
        <w:r w:rsidR="00CA3598" w:rsidRPr="003C3647">
          <w:rPr>
            <w:rFonts w:asciiTheme="majorHAnsi" w:hAnsiTheme="majorHAnsi"/>
            <w:i/>
            <w:color w:val="0000FF" w:themeColor="hyperlink"/>
            <w:sz w:val="22"/>
            <w:szCs w:val="22"/>
            <w:u w:val="single"/>
          </w:rPr>
          <w:t>link</w:t>
        </w:r>
      </w:hyperlink>
      <w:r w:rsidR="00CA3598" w:rsidRPr="003C3647">
        <w:rPr>
          <w:rFonts w:asciiTheme="majorHAnsi" w:eastAsiaTheme="majorEastAsia" w:hAnsiTheme="majorHAnsi" w:cstheme="majorBidi"/>
          <w:i/>
          <w:iCs/>
          <w:color w:val="365F91" w:themeColor="accent1" w:themeShade="BF"/>
          <w:sz w:val="22"/>
          <w:szCs w:val="22"/>
          <w:lang w:eastAsia="ja-JP"/>
        </w:rPr>
        <w:t>)</w:t>
      </w:r>
    </w:p>
    <w:p w:rsidR="00CA3598" w:rsidRPr="00653AE5" w:rsidRDefault="00CA3598" w:rsidP="00CA3598">
      <w:pPr>
        <w:spacing w:after="0" w:line="240" w:lineRule="auto"/>
      </w:pPr>
    </w:p>
    <w:p w:rsidR="00CA3598" w:rsidRPr="00653AE5" w:rsidRDefault="003C3647" w:rsidP="00CA3598">
      <w:pPr>
        <w:jc w:val="both"/>
        <w:rPr>
          <w:rFonts w:ascii="Times New Roman" w:hAnsi="Times New Roman" w:cs="Times New Roman"/>
        </w:rPr>
      </w:pPr>
      <w:r w:rsidRPr="003C3647">
        <w:rPr>
          <w:rFonts w:ascii="Times New Roman" w:hAnsi="Times New Roman" w:cs="Times New Roman"/>
        </w:rPr>
        <w:t xml:space="preserve">Ennek a kerethatározatnak az a célja, hogy biztosítsa a hatékony, arányos és visszatartó erejű büntetések kiszabását a rasszizmus és az idegengyűlölet egyes súlyos megnyilvánulásainak </w:t>
      </w:r>
      <w:r w:rsidRPr="003C3647">
        <w:rPr>
          <w:rFonts w:ascii="Times New Roman" w:hAnsi="Times New Roman" w:cs="Times New Roman"/>
        </w:rPr>
        <w:lastRenderedPageBreak/>
        <w:t>szankcionálására az Európai Unión (EU-n) keresztül. Célja továbbá az is, hogy fejlessze és ösztönözze az igazságügyi együttműködést ezen a területen.</w:t>
      </w:r>
    </w:p>
    <w:p w:rsidR="00CA3598" w:rsidRPr="00150811" w:rsidRDefault="00150811" w:rsidP="00CA3598">
      <w:pPr>
        <w:jc w:val="both"/>
        <w:rPr>
          <w:rFonts w:ascii="Times New Roman" w:hAnsi="Times New Roman" w:cs="Times New Roman"/>
        </w:rPr>
      </w:pPr>
      <w:r w:rsidRPr="00150811">
        <w:rPr>
          <w:rFonts w:ascii="Times New Roman" w:hAnsi="Times New Roman" w:cs="Times New Roman"/>
          <w:color w:val="000000"/>
        </w:rPr>
        <w:t>Ez a </w:t>
      </w:r>
      <w:r w:rsidR="00EA757C">
        <w:fldChar w:fldCharType="begin"/>
      </w:r>
      <w:r w:rsidR="00BC4F9D">
        <w:instrText xml:space="preserve"> HYPERLINK "https://eur-lex.europa.eu/legal-content/HU/AUTO/?uri=celex:31996F0443" </w:instrText>
      </w:r>
      <w:r w:rsidR="00EA757C">
        <w:fldChar w:fldCharType="separate"/>
      </w:r>
      <w:r w:rsidRPr="00150811">
        <w:rPr>
          <w:rStyle w:val="Hiperhivatkozs"/>
          <w:rFonts w:ascii="Times New Roman" w:hAnsi="Times New Roman" w:cs="Times New Roman"/>
        </w:rPr>
        <w:t>96/443/IB</w:t>
      </w:r>
      <w:r w:rsidR="00EA757C">
        <w:rPr>
          <w:rStyle w:val="Hiperhivatkozs"/>
          <w:rFonts w:ascii="Times New Roman" w:hAnsi="Times New Roman" w:cs="Times New Roman"/>
        </w:rPr>
        <w:fldChar w:fldCharType="end"/>
      </w:r>
      <w:r w:rsidRPr="00150811">
        <w:rPr>
          <w:rFonts w:ascii="Times New Roman" w:hAnsi="Times New Roman" w:cs="Times New Roman"/>
          <w:color w:val="000000"/>
        </w:rPr>
        <w:t> </w:t>
      </w:r>
      <w:hyperlink r:id="rId31" w:history="1">
        <w:r w:rsidRPr="00150811">
          <w:rPr>
            <w:rStyle w:val="Hiperhivatkozs"/>
            <w:rFonts w:ascii="Times New Roman" w:hAnsi="Times New Roman" w:cs="Times New Roman"/>
          </w:rPr>
          <w:t>együttes fellépést</w:t>
        </w:r>
      </w:hyperlink>
      <w:r w:rsidRPr="00150811">
        <w:rPr>
          <w:rFonts w:ascii="Times New Roman" w:hAnsi="Times New Roman" w:cs="Times New Roman"/>
          <w:color w:val="000000"/>
        </w:rPr>
        <w:t> követő kerethatározat az uniós országok törvényeinek és rendelkezéseinek további közelítésére szolgál a rasszizmus és idegengyűlölet egyes megnyilvánulásait érintő bűncselekmények tekintetében. A rasszista és idegengyűlölő magatartás egyes súlyos megnyilvánulásainak minden uniós országban bűncselekménynek kell minősülnie, és hatékony, arányos, valamint visszatartó erejű büntetéseket kell kiszabni rá.</w:t>
      </w:r>
    </w:p>
    <w:p w:rsidR="00150811" w:rsidRPr="00150811" w:rsidRDefault="00150811" w:rsidP="00150811">
      <w:pPr>
        <w:spacing w:before="195" w:after="0" w:line="240" w:lineRule="auto"/>
        <w:jc w:val="both"/>
        <w:rPr>
          <w:rFonts w:ascii="Times New Roman" w:eastAsia="Times New Roman" w:hAnsi="Times New Roman" w:cs="Times New Roman"/>
          <w:color w:val="000000"/>
        </w:rPr>
      </w:pPr>
      <w:r w:rsidRPr="00150811">
        <w:rPr>
          <w:rFonts w:ascii="Times New Roman" w:eastAsia="Times New Roman" w:hAnsi="Times New Roman" w:cs="Times New Roman"/>
          <w:color w:val="000000"/>
        </w:rPr>
        <w:t>Ez a kerethatározat minden olyan bűncselekményre kiterjed, amelyet:</w:t>
      </w:r>
    </w:p>
    <w:p w:rsidR="00150811" w:rsidRPr="00150811" w:rsidRDefault="00150811" w:rsidP="00150811">
      <w:pPr>
        <w:numPr>
          <w:ilvl w:val="0"/>
          <w:numId w:val="16"/>
        </w:numPr>
        <w:spacing w:before="195" w:after="0" w:line="240" w:lineRule="auto"/>
        <w:ind w:left="714" w:hanging="357"/>
        <w:contextualSpacing/>
        <w:jc w:val="both"/>
        <w:rPr>
          <w:rFonts w:ascii="Times New Roman" w:eastAsia="Times New Roman" w:hAnsi="Times New Roman" w:cs="Times New Roman"/>
          <w:color w:val="000000"/>
        </w:rPr>
      </w:pPr>
      <w:r w:rsidRPr="00150811">
        <w:rPr>
          <w:rFonts w:ascii="Times New Roman" w:eastAsia="Times New Roman" w:hAnsi="Times New Roman" w:cs="Times New Roman"/>
          <w:color w:val="000000"/>
        </w:rPr>
        <w:t>az Európai Unió (EU) területén követtek el, beleértve az információs rendszereken keresztül elkövetett bűncselekményeket;</w:t>
      </w:r>
    </w:p>
    <w:p w:rsidR="00150811" w:rsidRPr="00150811" w:rsidRDefault="00150811" w:rsidP="00150811">
      <w:pPr>
        <w:numPr>
          <w:ilvl w:val="0"/>
          <w:numId w:val="16"/>
        </w:numPr>
        <w:spacing w:before="195" w:after="0" w:line="240" w:lineRule="auto"/>
        <w:ind w:left="714" w:hanging="357"/>
        <w:contextualSpacing/>
        <w:jc w:val="both"/>
        <w:rPr>
          <w:rFonts w:ascii="Times New Roman" w:eastAsia="Times New Roman" w:hAnsi="Times New Roman" w:cs="Times New Roman"/>
          <w:color w:val="000000"/>
        </w:rPr>
      </w:pPr>
      <w:r w:rsidRPr="00150811">
        <w:rPr>
          <w:rFonts w:ascii="Times New Roman" w:eastAsia="Times New Roman" w:hAnsi="Times New Roman" w:cs="Times New Roman"/>
          <w:color w:val="000000"/>
        </w:rPr>
        <w:t>egy uniós ország állampolgára követett el, illetve az adott uniós ország területén letelepedett jogi személy javára követték el. Ennek érdekében a kerethatározat bizonyos kritériumokat határoz meg a jogi személyek felelősségének megállapítására.</w:t>
      </w:r>
    </w:p>
    <w:p w:rsidR="00150811" w:rsidRPr="00150811" w:rsidRDefault="00150811" w:rsidP="00150811">
      <w:pPr>
        <w:spacing w:before="195" w:after="0" w:line="240" w:lineRule="auto"/>
        <w:jc w:val="both"/>
        <w:rPr>
          <w:rFonts w:ascii="Times New Roman" w:eastAsia="Times New Roman" w:hAnsi="Times New Roman" w:cs="Times New Roman"/>
          <w:color w:val="000000"/>
          <w:u w:val="single"/>
        </w:rPr>
      </w:pPr>
      <w:r w:rsidRPr="00150811">
        <w:rPr>
          <w:rFonts w:ascii="Times New Roman" w:eastAsia="Times New Roman" w:hAnsi="Times New Roman" w:cs="Times New Roman"/>
          <w:bCs/>
          <w:color w:val="000000"/>
          <w:u w:val="single"/>
        </w:rPr>
        <w:t>Gyűlöletbeszéd</w:t>
      </w:r>
    </w:p>
    <w:p w:rsidR="00150811" w:rsidRPr="00150811" w:rsidRDefault="00150811" w:rsidP="00150811">
      <w:pPr>
        <w:spacing w:before="195" w:after="0" w:line="240" w:lineRule="auto"/>
        <w:jc w:val="both"/>
        <w:rPr>
          <w:rFonts w:ascii="Times New Roman" w:eastAsia="Times New Roman" w:hAnsi="Times New Roman" w:cs="Times New Roman"/>
          <w:color w:val="000000"/>
        </w:rPr>
      </w:pPr>
      <w:r w:rsidRPr="00150811">
        <w:rPr>
          <w:rFonts w:ascii="Times New Roman" w:eastAsia="Times New Roman" w:hAnsi="Times New Roman" w:cs="Times New Roman"/>
          <w:color w:val="000000"/>
        </w:rPr>
        <w:t>Az alább felvázolt viselkedésformák bűncselekményként büntetendőek:</w:t>
      </w:r>
    </w:p>
    <w:p w:rsidR="00150811" w:rsidRPr="00150811" w:rsidRDefault="00150811" w:rsidP="00150811">
      <w:pPr>
        <w:numPr>
          <w:ilvl w:val="0"/>
          <w:numId w:val="17"/>
        </w:numPr>
        <w:spacing w:before="195" w:after="0" w:line="240" w:lineRule="auto"/>
        <w:ind w:left="714" w:hanging="357"/>
        <w:contextualSpacing/>
        <w:jc w:val="both"/>
        <w:rPr>
          <w:rFonts w:ascii="Times New Roman" w:eastAsia="Times New Roman" w:hAnsi="Times New Roman" w:cs="Times New Roman"/>
          <w:color w:val="000000"/>
        </w:rPr>
      </w:pPr>
      <w:r w:rsidRPr="00150811">
        <w:rPr>
          <w:rFonts w:ascii="Times New Roman" w:eastAsia="Times New Roman" w:hAnsi="Times New Roman" w:cs="Times New Roman"/>
          <w:color w:val="000000"/>
        </w:rPr>
        <w:t>nyilvánosság előtt erőszakra vagy gyűlöletre uszítás faji, bőrszín szerinti, származás szerinti, vallás, meggyőződés, illetve nemzeti, etnikai hovatartozásuk alapján meghatározott személyek csoportjával vagy ilyen csoport valamely tagjával szemben;</w:t>
      </w:r>
    </w:p>
    <w:p w:rsidR="00150811" w:rsidRPr="00150811" w:rsidRDefault="00150811" w:rsidP="00150811">
      <w:pPr>
        <w:numPr>
          <w:ilvl w:val="0"/>
          <w:numId w:val="17"/>
        </w:numPr>
        <w:spacing w:before="195" w:after="0" w:line="240" w:lineRule="auto"/>
        <w:ind w:left="714" w:hanging="357"/>
        <w:contextualSpacing/>
        <w:jc w:val="both"/>
        <w:rPr>
          <w:rFonts w:ascii="Times New Roman" w:eastAsia="Times New Roman" w:hAnsi="Times New Roman" w:cs="Times New Roman"/>
          <w:color w:val="000000"/>
        </w:rPr>
      </w:pPr>
      <w:r w:rsidRPr="00150811">
        <w:rPr>
          <w:rFonts w:ascii="Times New Roman" w:eastAsia="Times New Roman" w:hAnsi="Times New Roman" w:cs="Times New Roman"/>
          <w:color w:val="000000"/>
        </w:rPr>
        <w:t>a fent említett bűncselekmény, amikor arra röpiratok, képek vagy egyéb anyagok nyilvános terjesztése vagy forgalmazása révén kerül sor;</w:t>
      </w:r>
    </w:p>
    <w:p w:rsidR="00150811" w:rsidRPr="00150811" w:rsidRDefault="00150811" w:rsidP="00150811">
      <w:pPr>
        <w:numPr>
          <w:ilvl w:val="0"/>
          <w:numId w:val="17"/>
        </w:numPr>
        <w:spacing w:before="195" w:after="0" w:line="240" w:lineRule="auto"/>
        <w:ind w:left="714" w:hanging="357"/>
        <w:contextualSpacing/>
        <w:jc w:val="both"/>
        <w:rPr>
          <w:rFonts w:ascii="Times New Roman" w:eastAsia="Times New Roman" w:hAnsi="Times New Roman" w:cs="Times New Roman"/>
          <w:color w:val="000000"/>
        </w:rPr>
      </w:pPr>
      <w:r w:rsidRPr="00150811">
        <w:rPr>
          <w:rFonts w:ascii="Times New Roman" w:eastAsia="Times New Roman" w:hAnsi="Times New Roman" w:cs="Times New Roman"/>
          <w:color w:val="000000"/>
        </w:rPr>
        <w:t>a Nemzetközi Büntetőbíróság statútumának 6</w:t>
      </w:r>
      <w:proofErr w:type="gramStart"/>
      <w:r w:rsidRPr="00150811">
        <w:rPr>
          <w:rFonts w:ascii="Times New Roman" w:eastAsia="Times New Roman" w:hAnsi="Times New Roman" w:cs="Times New Roman"/>
          <w:color w:val="000000"/>
        </w:rPr>
        <w:t>.,</w:t>
      </w:r>
      <w:proofErr w:type="gramEnd"/>
      <w:r w:rsidRPr="00150811">
        <w:rPr>
          <w:rFonts w:ascii="Times New Roman" w:eastAsia="Times New Roman" w:hAnsi="Times New Roman" w:cs="Times New Roman"/>
          <w:color w:val="000000"/>
        </w:rPr>
        <w:t xml:space="preserve"> 7., illetve 8. cikkében meghatározott népirtás, emberiesség elleni vagy háborús bűncselekmény, illetve a Nemzetközi Katonai Törvényszék chartájának 6. cikkében meghatározott bűncselekmények nyilvánosság előtti védelmezése, tagadása vagy súlyosan jelentéktelen színben való feltüntetése, amennyiben az adott cselekményt olyan módon valósítják meg, hogy az ilyen csoport vagy annak valamely tagja ellen erőszakra vagy gyűlöletre való uszításra alkalmas.</w:t>
      </w:r>
    </w:p>
    <w:p w:rsidR="00150811" w:rsidRPr="00150811" w:rsidRDefault="00150811" w:rsidP="00150811">
      <w:pPr>
        <w:spacing w:before="195" w:after="0" w:line="240" w:lineRule="auto"/>
        <w:jc w:val="both"/>
        <w:rPr>
          <w:rFonts w:ascii="Times New Roman" w:eastAsia="Times New Roman" w:hAnsi="Times New Roman" w:cs="Times New Roman"/>
          <w:color w:val="000000"/>
        </w:rPr>
      </w:pPr>
      <w:r w:rsidRPr="00150811">
        <w:rPr>
          <w:rFonts w:ascii="Times New Roman" w:eastAsia="Times New Roman" w:hAnsi="Times New Roman" w:cs="Times New Roman"/>
          <w:color w:val="000000"/>
        </w:rPr>
        <w:t>A fent említett bűncselekmények elkövetésére való felbujtás és azokban való bűnrészesség is büntetendő.</w:t>
      </w:r>
    </w:p>
    <w:p w:rsidR="00150811" w:rsidRPr="00150811" w:rsidRDefault="00150811" w:rsidP="00150811">
      <w:pPr>
        <w:spacing w:before="195" w:after="0" w:line="240" w:lineRule="auto"/>
        <w:jc w:val="both"/>
        <w:rPr>
          <w:rFonts w:ascii="Times New Roman" w:eastAsia="Times New Roman" w:hAnsi="Times New Roman" w:cs="Times New Roman"/>
          <w:color w:val="000000"/>
        </w:rPr>
      </w:pPr>
      <w:r w:rsidRPr="00150811">
        <w:rPr>
          <w:rFonts w:ascii="Times New Roman" w:eastAsia="Times New Roman" w:hAnsi="Times New Roman" w:cs="Times New Roman"/>
          <w:color w:val="000000"/>
        </w:rPr>
        <w:t>E felsorolt bűncselekményekre tekintettel az uniós országoknak biztosítaniuk kell, hogy azokat:</w:t>
      </w:r>
    </w:p>
    <w:p w:rsidR="00150811" w:rsidRPr="00150811" w:rsidRDefault="00150811" w:rsidP="00150811">
      <w:pPr>
        <w:numPr>
          <w:ilvl w:val="0"/>
          <w:numId w:val="18"/>
        </w:numPr>
        <w:spacing w:before="195" w:after="0" w:line="240" w:lineRule="auto"/>
        <w:ind w:left="714" w:hanging="357"/>
        <w:contextualSpacing/>
        <w:jc w:val="both"/>
        <w:rPr>
          <w:rFonts w:ascii="Times New Roman" w:eastAsia="Times New Roman" w:hAnsi="Times New Roman" w:cs="Times New Roman"/>
          <w:color w:val="000000"/>
        </w:rPr>
      </w:pPr>
      <w:r w:rsidRPr="00150811">
        <w:rPr>
          <w:rFonts w:ascii="Times New Roman" w:eastAsia="Times New Roman" w:hAnsi="Times New Roman" w:cs="Times New Roman"/>
          <w:color w:val="000000"/>
        </w:rPr>
        <w:t>hatékony, arányos és visszatartó erejű büntetésekkel;</w:t>
      </w:r>
    </w:p>
    <w:p w:rsidR="00150811" w:rsidRPr="00150811" w:rsidRDefault="00150811" w:rsidP="00150811">
      <w:pPr>
        <w:numPr>
          <w:ilvl w:val="0"/>
          <w:numId w:val="18"/>
        </w:numPr>
        <w:spacing w:before="195" w:after="0" w:line="240" w:lineRule="auto"/>
        <w:ind w:left="714" w:hanging="357"/>
        <w:contextualSpacing/>
        <w:jc w:val="both"/>
        <w:rPr>
          <w:rFonts w:ascii="Times New Roman" w:eastAsia="Times New Roman" w:hAnsi="Times New Roman" w:cs="Times New Roman"/>
          <w:color w:val="000000"/>
        </w:rPr>
      </w:pPr>
      <w:r w:rsidRPr="00150811">
        <w:rPr>
          <w:rFonts w:ascii="Times New Roman" w:eastAsia="Times New Roman" w:hAnsi="Times New Roman" w:cs="Times New Roman"/>
          <w:color w:val="000000"/>
        </w:rPr>
        <w:t>legfeljebb egy évig terjedő szabadságvesztéssel szankcionálják.</w:t>
      </w:r>
    </w:p>
    <w:p w:rsidR="00150811" w:rsidRPr="00150811" w:rsidRDefault="00150811" w:rsidP="00150811">
      <w:pPr>
        <w:spacing w:before="195" w:after="0" w:line="240" w:lineRule="auto"/>
        <w:jc w:val="both"/>
        <w:rPr>
          <w:rFonts w:ascii="Times New Roman" w:eastAsia="Times New Roman" w:hAnsi="Times New Roman" w:cs="Times New Roman"/>
          <w:color w:val="000000"/>
        </w:rPr>
      </w:pPr>
      <w:r w:rsidRPr="00150811">
        <w:rPr>
          <w:rFonts w:ascii="Times New Roman" w:eastAsia="Times New Roman" w:hAnsi="Times New Roman" w:cs="Times New Roman"/>
          <w:color w:val="000000"/>
        </w:rPr>
        <w:t xml:space="preserve">A jogi személlyel szemben hatékony, arányos és visszatartó erejű büntetések legyenek alkalmazhatóak, ideértve a pénzbüntetést vagy pénzbírságot is. </w:t>
      </w:r>
      <w:proofErr w:type="gramStart"/>
      <w:r w:rsidRPr="00150811">
        <w:rPr>
          <w:rFonts w:ascii="Times New Roman" w:eastAsia="Times New Roman" w:hAnsi="Times New Roman" w:cs="Times New Roman"/>
          <w:color w:val="000000"/>
        </w:rPr>
        <w:t>Ezenfelül</w:t>
      </w:r>
      <w:proofErr w:type="gramEnd"/>
      <w:r w:rsidRPr="00150811">
        <w:rPr>
          <w:rFonts w:ascii="Times New Roman" w:eastAsia="Times New Roman" w:hAnsi="Times New Roman" w:cs="Times New Roman"/>
          <w:color w:val="000000"/>
        </w:rPr>
        <w:t xml:space="preserve"> a jogi személyek büntethetők:</w:t>
      </w:r>
    </w:p>
    <w:p w:rsidR="00150811" w:rsidRPr="00150811" w:rsidRDefault="00150811" w:rsidP="00150811">
      <w:pPr>
        <w:numPr>
          <w:ilvl w:val="0"/>
          <w:numId w:val="19"/>
        </w:numPr>
        <w:spacing w:before="195" w:after="0" w:line="240" w:lineRule="auto"/>
        <w:ind w:left="714" w:hanging="357"/>
        <w:contextualSpacing/>
        <w:jc w:val="both"/>
        <w:rPr>
          <w:rFonts w:ascii="Times New Roman" w:eastAsia="Times New Roman" w:hAnsi="Times New Roman" w:cs="Times New Roman"/>
          <w:color w:val="000000"/>
        </w:rPr>
      </w:pPr>
      <w:r w:rsidRPr="00150811">
        <w:rPr>
          <w:rFonts w:ascii="Times New Roman" w:eastAsia="Times New Roman" w:hAnsi="Times New Roman" w:cs="Times New Roman"/>
          <w:color w:val="000000"/>
        </w:rPr>
        <w:t>állami kedvezményekből és támogatásokból való kizárással;</w:t>
      </w:r>
    </w:p>
    <w:p w:rsidR="00150811" w:rsidRPr="00150811" w:rsidRDefault="00150811" w:rsidP="00150811">
      <w:pPr>
        <w:numPr>
          <w:ilvl w:val="0"/>
          <w:numId w:val="19"/>
        </w:numPr>
        <w:spacing w:before="195" w:after="0" w:line="240" w:lineRule="auto"/>
        <w:ind w:left="714" w:hanging="357"/>
        <w:contextualSpacing/>
        <w:jc w:val="both"/>
        <w:rPr>
          <w:rFonts w:ascii="Times New Roman" w:eastAsia="Times New Roman" w:hAnsi="Times New Roman" w:cs="Times New Roman"/>
          <w:color w:val="000000"/>
        </w:rPr>
      </w:pPr>
      <w:r w:rsidRPr="00150811">
        <w:rPr>
          <w:rFonts w:ascii="Times New Roman" w:eastAsia="Times New Roman" w:hAnsi="Times New Roman" w:cs="Times New Roman"/>
          <w:color w:val="000000"/>
        </w:rPr>
        <w:t>üzleti tevékenység gyakorlásától való ideiglenes vagy végleges eltiltással;</w:t>
      </w:r>
    </w:p>
    <w:p w:rsidR="00150811" w:rsidRPr="00150811" w:rsidRDefault="00150811" w:rsidP="00150811">
      <w:pPr>
        <w:numPr>
          <w:ilvl w:val="0"/>
          <w:numId w:val="19"/>
        </w:numPr>
        <w:spacing w:before="195" w:after="0" w:line="240" w:lineRule="auto"/>
        <w:ind w:left="714" w:hanging="357"/>
        <w:contextualSpacing/>
        <w:jc w:val="both"/>
        <w:rPr>
          <w:rFonts w:ascii="Times New Roman" w:eastAsia="Times New Roman" w:hAnsi="Times New Roman" w:cs="Times New Roman"/>
          <w:color w:val="000000"/>
        </w:rPr>
      </w:pPr>
      <w:r w:rsidRPr="00150811">
        <w:rPr>
          <w:rFonts w:ascii="Times New Roman" w:eastAsia="Times New Roman" w:hAnsi="Times New Roman" w:cs="Times New Roman"/>
          <w:color w:val="000000"/>
        </w:rPr>
        <w:t>bírósági felügyelet alá helyezéssel;</w:t>
      </w:r>
    </w:p>
    <w:p w:rsidR="00150811" w:rsidRPr="00150811" w:rsidRDefault="00150811" w:rsidP="00150811">
      <w:pPr>
        <w:numPr>
          <w:ilvl w:val="0"/>
          <w:numId w:val="19"/>
        </w:numPr>
        <w:spacing w:before="195" w:after="0" w:line="240" w:lineRule="auto"/>
        <w:ind w:left="714" w:hanging="357"/>
        <w:contextualSpacing/>
        <w:jc w:val="both"/>
        <w:rPr>
          <w:rFonts w:ascii="Times New Roman" w:eastAsia="Times New Roman" w:hAnsi="Times New Roman" w:cs="Times New Roman"/>
          <w:color w:val="000000"/>
        </w:rPr>
      </w:pPr>
      <w:r w:rsidRPr="00150811">
        <w:rPr>
          <w:rFonts w:ascii="Times New Roman" w:eastAsia="Times New Roman" w:hAnsi="Times New Roman" w:cs="Times New Roman"/>
          <w:color w:val="000000"/>
        </w:rPr>
        <w:t>bíróság által elrendelt felszámolással.</w:t>
      </w:r>
    </w:p>
    <w:p w:rsidR="00150811" w:rsidRPr="00150811" w:rsidRDefault="00150811" w:rsidP="00150811">
      <w:pPr>
        <w:spacing w:before="195" w:after="0" w:line="240" w:lineRule="auto"/>
        <w:jc w:val="both"/>
        <w:rPr>
          <w:rFonts w:ascii="Times New Roman" w:eastAsia="Times New Roman" w:hAnsi="Times New Roman" w:cs="Times New Roman"/>
          <w:color w:val="000000"/>
        </w:rPr>
      </w:pPr>
      <w:r w:rsidRPr="00150811">
        <w:rPr>
          <w:rFonts w:ascii="Times New Roman" w:eastAsia="Times New Roman" w:hAnsi="Times New Roman" w:cs="Times New Roman"/>
          <w:color w:val="000000"/>
        </w:rPr>
        <w:t>A rasszista és idegengyűlölő cselekmények kivizsgálása és üldözése nem függhet a cselekmény sértettjének feljelentésétől vagy a büntetőeljárás megindítására vonatkozó indítványától.</w:t>
      </w:r>
    </w:p>
    <w:p w:rsidR="00150811" w:rsidRPr="00150811" w:rsidRDefault="00150811" w:rsidP="00150811">
      <w:pPr>
        <w:spacing w:before="195" w:after="0" w:line="240" w:lineRule="auto"/>
        <w:jc w:val="both"/>
        <w:rPr>
          <w:rFonts w:ascii="Times New Roman" w:eastAsia="Times New Roman" w:hAnsi="Times New Roman" w:cs="Times New Roman"/>
          <w:color w:val="000000"/>
          <w:u w:val="single"/>
        </w:rPr>
      </w:pPr>
      <w:r w:rsidRPr="00150811">
        <w:rPr>
          <w:rFonts w:ascii="Times New Roman" w:eastAsia="Times New Roman" w:hAnsi="Times New Roman" w:cs="Times New Roman"/>
          <w:bCs/>
          <w:color w:val="000000"/>
          <w:u w:val="single"/>
        </w:rPr>
        <w:t>Gyűlölet-bűncselekmény</w:t>
      </w:r>
    </w:p>
    <w:p w:rsidR="00150811" w:rsidRPr="00150811" w:rsidRDefault="00150811" w:rsidP="00150811">
      <w:pPr>
        <w:spacing w:before="195" w:after="0" w:line="240" w:lineRule="auto"/>
        <w:jc w:val="both"/>
        <w:rPr>
          <w:rFonts w:ascii="Times New Roman" w:eastAsia="Times New Roman" w:hAnsi="Times New Roman" w:cs="Times New Roman"/>
          <w:color w:val="000000"/>
        </w:rPr>
      </w:pPr>
      <w:r w:rsidRPr="00150811">
        <w:rPr>
          <w:rFonts w:ascii="Times New Roman" w:eastAsia="Times New Roman" w:hAnsi="Times New Roman" w:cs="Times New Roman"/>
          <w:color w:val="000000"/>
        </w:rPr>
        <w:lastRenderedPageBreak/>
        <w:t xml:space="preserve">A rasszista és idegengyűlölő </w:t>
      </w:r>
      <w:proofErr w:type="gramStart"/>
      <w:r w:rsidRPr="00150811">
        <w:rPr>
          <w:rFonts w:ascii="Times New Roman" w:eastAsia="Times New Roman" w:hAnsi="Times New Roman" w:cs="Times New Roman"/>
          <w:color w:val="000000"/>
        </w:rPr>
        <w:t>indíték súlyosbító</w:t>
      </w:r>
      <w:proofErr w:type="gramEnd"/>
      <w:r w:rsidRPr="00150811">
        <w:rPr>
          <w:rFonts w:ascii="Times New Roman" w:eastAsia="Times New Roman" w:hAnsi="Times New Roman" w:cs="Times New Roman"/>
          <w:color w:val="000000"/>
        </w:rPr>
        <w:t xml:space="preserve"> körülménynek számít minden esetben, illetve az ilyen indíték figyelembe vételére fel kell hatalmazni a bíróságokat a büntetések kiszabásánál.</w:t>
      </w:r>
    </w:p>
    <w:p w:rsidR="00150811" w:rsidRPr="00150811" w:rsidRDefault="00150811" w:rsidP="00150811">
      <w:pPr>
        <w:pStyle w:val="Norml1"/>
        <w:spacing w:before="195" w:beforeAutospacing="0" w:after="0" w:afterAutospacing="0"/>
        <w:jc w:val="both"/>
        <w:rPr>
          <w:color w:val="000000"/>
          <w:sz w:val="22"/>
          <w:szCs w:val="22"/>
        </w:rPr>
      </w:pPr>
      <w:r w:rsidRPr="00150811">
        <w:rPr>
          <w:rStyle w:val="bold"/>
          <w:bCs/>
          <w:color w:val="000000"/>
          <w:sz w:val="22"/>
          <w:szCs w:val="22"/>
        </w:rPr>
        <w:t xml:space="preserve">Az Európai Bizottság az Európai Parlamentnek és Tanácsnak a rasszizmus és az idegengyűlölet egyes formái és megnyilvánulásai elleni, büntetőjogi eszközökkel történő küzdelemről szóló 2008/913/IB tanácsi kerethatározat végrehajtásáról </w:t>
      </w:r>
      <w:r>
        <w:rPr>
          <w:rStyle w:val="bold"/>
          <w:bCs/>
          <w:color w:val="000000"/>
          <w:sz w:val="22"/>
          <w:szCs w:val="22"/>
        </w:rPr>
        <w:t xml:space="preserve">szóló jelentése </w:t>
      </w:r>
      <w:r w:rsidRPr="00150811">
        <w:rPr>
          <w:rStyle w:val="bold"/>
          <w:bCs/>
          <w:color w:val="000000"/>
          <w:sz w:val="22"/>
          <w:szCs w:val="22"/>
        </w:rPr>
        <w:t>[</w:t>
      </w:r>
      <w:r w:rsidRPr="00150811">
        <w:rPr>
          <w:color w:val="000000"/>
          <w:sz w:val="22"/>
          <w:szCs w:val="22"/>
        </w:rPr>
        <w:t> </w:t>
      </w:r>
      <w:hyperlink r:id="rId32" w:history="1">
        <w:proofErr w:type="gramStart"/>
        <w:r w:rsidRPr="00150811">
          <w:rPr>
            <w:rStyle w:val="Hiperhivatkozs"/>
            <w:sz w:val="22"/>
            <w:szCs w:val="22"/>
          </w:rPr>
          <w:t>COM(</w:t>
        </w:r>
        <w:proofErr w:type="gramEnd"/>
        <w:r w:rsidRPr="00150811">
          <w:rPr>
            <w:rStyle w:val="Hiperhivatkozs"/>
            <w:sz w:val="22"/>
            <w:szCs w:val="22"/>
          </w:rPr>
          <w:t xml:space="preserve">2014) 27 </w:t>
        </w:r>
        <w:proofErr w:type="spellStart"/>
        <w:r w:rsidRPr="00150811">
          <w:rPr>
            <w:rStyle w:val="Hiperhivatkozs"/>
            <w:sz w:val="22"/>
            <w:szCs w:val="22"/>
          </w:rPr>
          <w:t>final</w:t>
        </w:r>
        <w:proofErr w:type="spellEnd"/>
      </w:hyperlink>
      <w:r w:rsidRPr="00150811">
        <w:rPr>
          <w:color w:val="000000"/>
          <w:sz w:val="22"/>
          <w:szCs w:val="22"/>
        </w:rPr>
        <w:t> </w:t>
      </w:r>
      <w:r w:rsidRPr="00150811">
        <w:rPr>
          <w:rStyle w:val="bold"/>
          <w:bCs/>
          <w:color w:val="000000"/>
          <w:sz w:val="22"/>
          <w:szCs w:val="22"/>
        </w:rPr>
        <w:t xml:space="preserve">, 2014.1.27. </w:t>
      </w:r>
      <w:proofErr w:type="gramStart"/>
      <w:r w:rsidRPr="00150811">
        <w:rPr>
          <w:rStyle w:val="bold"/>
          <w:bCs/>
          <w:color w:val="000000"/>
          <w:sz w:val="22"/>
          <w:szCs w:val="22"/>
        </w:rPr>
        <w:t>- a Hivatalos Lapban még nem tették közzé]</w:t>
      </w:r>
      <w:r>
        <w:rPr>
          <w:rStyle w:val="bold"/>
          <w:bCs/>
          <w:color w:val="000000"/>
          <w:sz w:val="22"/>
          <w:szCs w:val="22"/>
        </w:rPr>
        <w:t xml:space="preserve"> szerint</w:t>
      </w:r>
      <w:r w:rsidRPr="00150811">
        <w:rPr>
          <w:color w:val="000000"/>
          <w:sz w:val="22"/>
          <w:szCs w:val="22"/>
        </w:rPr>
        <w:t xml:space="preserve"> számos olyan uniós ország van még, amely nem ültette át teljesen és/vagy megfelelően</w:t>
      </w:r>
      <w:r w:rsidR="00A54DB6">
        <w:rPr>
          <w:color w:val="000000"/>
          <w:sz w:val="22"/>
          <w:szCs w:val="22"/>
        </w:rPr>
        <w:t xml:space="preserve"> a </w:t>
      </w:r>
      <w:r w:rsidRPr="00150811">
        <w:rPr>
          <w:color w:val="000000"/>
          <w:sz w:val="22"/>
          <w:szCs w:val="22"/>
        </w:rPr>
        <w:t>kerethatározatvalamennyi rendelkezését, különösen egyes nemzetközi bűncselekmények tagadásának, védelmezésének és súlyosan jelentéktelen színben való feltüntetésének a bűncselekményére vonatkozó rendelkezéseket.Az uniós országok többségében hatályban vannak olyan rendelkezések, amelyek bűncselekménynek nyilvánítják a rasszista és idegengyűlölő erőszakos cselekményre és gyűlöletre való nyilvános uszítást, több uniós ország azonban nem teljesen ülteti át a kerethatározat</w:t>
      </w:r>
      <w:proofErr w:type="gramEnd"/>
      <w:r w:rsidRPr="00150811">
        <w:rPr>
          <w:color w:val="000000"/>
          <w:sz w:val="22"/>
          <w:szCs w:val="22"/>
        </w:rPr>
        <w:t xml:space="preserve"> </w:t>
      </w:r>
      <w:proofErr w:type="gramStart"/>
      <w:r w:rsidRPr="00150811">
        <w:rPr>
          <w:color w:val="000000"/>
          <w:sz w:val="22"/>
          <w:szCs w:val="22"/>
        </w:rPr>
        <w:t>által</w:t>
      </w:r>
      <w:proofErr w:type="gramEnd"/>
      <w:r w:rsidRPr="00150811">
        <w:rPr>
          <w:color w:val="000000"/>
          <w:sz w:val="22"/>
          <w:szCs w:val="22"/>
        </w:rPr>
        <w:t xml:space="preserve"> lefedett bűncselekményeket. A rasszista és idegengyűlölő indíték, valamint a jogi személyek felelőssége és a joghatóság megközelítésének tekintetében is maradtak még hiányosságok.</w:t>
      </w:r>
      <w:r w:rsidR="00A54DB6" w:rsidRPr="00653AE5">
        <w:rPr>
          <w:bCs/>
          <w:color w:val="000000"/>
          <w:vertAlign w:val="superscript"/>
        </w:rPr>
        <w:footnoteReference w:id="39"/>
      </w:r>
    </w:p>
    <w:p w:rsidR="00150811" w:rsidRPr="00150811" w:rsidRDefault="00150811" w:rsidP="00150811">
      <w:pPr>
        <w:pStyle w:val="Norml1"/>
        <w:spacing w:before="195" w:beforeAutospacing="0" w:after="0" w:afterAutospacing="0"/>
        <w:jc w:val="both"/>
        <w:rPr>
          <w:color w:val="000000"/>
          <w:sz w:val="22"/>
          <w:szCs w:val="22"/>
        </w:rPr>
      </w:pPr>
      <w:r w:rsidRPr="00150811">
        <w:rPr>
          <w:color w:val="000000"/>
          <w:sz w:val="22"/>
          <w:szCs w:val="22"/>
        </w:rPr>
        <w:t>A Bizottság a kerethatározat maradéktalan és megfelelő átültetésének biztosítása céljából 2014-ben kétoldalú párbeszédeket fog kezdeményez a tagállamokkal.</w:t>
      </w:r>
    </w:p>
    <w:p w:rsidR="00CA3598" w:rsidRDefault="00A54DB6" w:rsidP="00B34A3A">
      <w:pPr>
        <w:pStyle w:val="Norml1"/>
        <w:spacing w:before="195" w:beforeAutospacing="0" w:after="240" w:afterAutospacing="0"/>
        <w:jc w:val="both"/>
        <w:rPr>
          <w:color w:val="000000"/>
          <w:sz w:val="22"/>
          <w:szCs w:val="22"/>
        </w:rPr>
      </w:pPr>
      <w:r>
        <w:rPr>
          <w:color w:val="000000"/>
          <w:sz w:val="22"/>
          <w:szCs w:val="22"/>
        </w:rPr>
        <w:t xml:space="preserve">Összességében az államok általában különböző megközelítéseket valósítottak meg a gyűlölet-bűncselekmények figyelembevételére vonatkozóan. Többek között például a büntetőjogban teljesen önálló bűncselekményként rendelkeztek a gyűlölet-bűncselekményekről, </w:t>
      </w:r>
      <w:r w:rsidR="00B34A3A">
        <w:rPr>
          <w:color w:val="000000"/>
          <w:sz w:val="22"/>
          <w:szCs w:val="22"/>
        </w:rPr>
        <w:t xml:space="preserve">vagy egyszerűen megjelölték az elfogult indítékkal elkövetett bűncselekmények esetén alkalmazandó </w:t>
      </w:r>
      <w:proofErr w:type="gramStart"/>
      <w:r w:rsidR="00B34A3A">
        <w:rPr>
          <w:color w:val="000000"/>
          <w:sz w:val="22"/>
          <w:szCs w:val="22"/>
        </w:rPr>
        <w:t>plusz büntetési</w:t>
      </w:r>
      <w:proofErr w:type="gramEnd"/>
      <w:r w:rsidR="00B34A3A">
        <w:rPr>
          <w:color w:val="000000"/>
          <w:sz w:val="22"/>
          <w:szCs w:val="22"/>
        </w:rPr>
        <w:t xml:space="preserve"> tételeket, vagy a két megoldás valamilyen keverékét alkalmazták. Fontos azonban, hogy – a tagállamok által alkalmazott megoldásoktól függetlenül – az </w:t>
      </w:r>
      <w:r w:rsidR="0090750C">
        <w:rPr>
          <w:color w:val="000000"/>
          <w:sz w:val="22"/>
          <w:szCs w:val="22"/>
        </w:rPr>
        <w:t xml:space="preserve">előítéletes </w:t>
      </w:r>
      <w:r w:rsidR="00B34A3A">
        <w:rPr>
          <w:color w:val="000000"/>
          <w:sz w:val="22"/>
          <w:szCs w:val="22"/>
        </w:rPr>
        <w:t xml:space="preserve">indítékkal elkövetett bűncselekményeket </w:t>
      </w:r>
      <w:r w:rsidR="007B5154">
        <w:rPr>
          <w:color w:val="000000"/>
          <w:sz w:val="22"/>
          <w:szCs w:val="22"/>
        </w:rPr>
        <w:t xml:space="preserve">egyéb </w:t>
      </w:r>
      <w:r w:rsidR="00B34A3A">
        <w:rPr>
          <w:color w:val="000000"/>
          <w:sz w:val="22"/>
          <w:szCs w:val="22"/>
        </w:rPr>
        <w:t>bűncselekményektől eltérően történő kivizsgálásának kötelezettsége nem függ attól, hogy léte</w:t>
      </w:r>
      <w:r w:rsidR="00236658">
        <w:rPr>
          <w:color w:val="000000"/>
          <w:sz w:val="22"/>
          <w:szCs w:val="22"/>
        </w:rPr>
        <w:t>z</w:t>
      </w:r>
      <w:r w:rsidR="00B34A3A">
        <w:rPr>
          <w:color w:val="000000"/>
          <w:sz w:val="22"/>
          <w:szCs w:val="22"/>
        </w:rPr>
        <w:t>ik-e az adott államban kifejezetten a gyűlölet-bűncselekményekkel foglalkozó jogszabály.</w:t>
      </w:r>
      <w:r w:rsidR="00CA3598" w:rsidRPr="00A54DB6">
        <w:rPr>
          <w:color w:val="000000"/>
          <w:sz w:val="22"/>
          <w:szCs w:val="22"/>
          <w:vertAlign w:val="superscript"/>
        </w:rPr>
        <w:footnoteReference w:id="40"/>
      </w:r>
    </w:p>
    <w:p w:rsidR="00A54DB6" w:rsidRPr="00A54DB6" w:rsidRDefault="00A54DB6" w:rsidP="00A54DB6">
      <w:pPr>
        <w:pStyle w:val="Norml1"/>
        <w:spacing w:before="195" w:beforeAutospacing="0" w:after="240" w:afterAutospacing="0"/>
        <w:jc w:val="both"/>
        <w:rPr>
          <w:color w:val="000000"/>
          <w:sz w:val="22"/>
          <w:szCs w:val="22"/>
        </w:rPr>
      </w:pPr>
    </w:p>
    <w:p w:rsidR="00236658" w:rsidRPr="00236658" w:rsidRDefault="008541CA" w:rsidP="00236658">
      <w:pPr>
        <w:pStyle w:val="doc-ti"/>
        <w:spacing w:before="40" w:beforeAutospacing="0" w:after="0" w:afterAutospacing="0" w:line="276" w:lineRule="auto"/>
        <w:rPr>
          <w:rFonts w:asciiTheme="majorHAnsi" w:eastAsiaTheme="majorEastAsia" w:hAnsiTheme="majorHAnsi" w:cstheme="majorBidi"/>
          <w:i/>
          <w:iCs/>
          <w:color w:val="365F91" w:themeColor="accent1" w:themeShade="BF"/>
          <w:sz w:val="22"/>
          <w:szCs w:val="22"/>
          <w:lang w:eastAsia="ja-JP"/>
        </w:rPr>
      </w:pPr>
      <w:bookmarkStart w:id="32" w:name="_Toc346570275"/>
      <w:r w:rsidRPr="00236658">
        <w:rPr>
          <w:rFonts w:asciiTheme="majorHAnsi" w:eastAsiaTheme="majorEastAsia" w:hAnsiTheme="majorHAnsi" w:cstheme="majorBidi"/>
          <w:i/>
          <w:iCs/>
          <w:color w:val="365F91" w:themeColor="accent1" w:themeShade="BF"/>
          <w:sz w:val="22"/>
          <w:szCs w:val="22"/>
          <w:lang w:eastAsia="ja-JP"/>
        </w:rPr>
        <w:t>4.</w:t>
      </w:r>
      <w:r w:rsidR="00CA3598" w:rsidRPr="00236658">
        <w:rPr>
          <w:rFonts w:asciiTheme="majorHAnsi" w:eastAsiaTheme="majorEastAsia" w:hAnsiTheme="majorHAnsi" w:cstheme="majorBidi"/>
          <w:i/>
          <w:iCs/>
          <w:color w:val="365F91" w:themeColor="accent1" w:themeShade="BF"/>
          <w:sz w:val="22"/>
          <w:szCs w:val="22"/>
          <w:lang w:eastAsia="ja-JP"/>
        </w:rPr>
        <w:t>2.1</w:t>
      </w:r>
      <w:proofErr w:type="gramStart"/>
      <w:r w:rsidR="00CA3598" w:rsidRPr="00236658">
        <w:rPr>
          <w:rFonts w:asciiTheme="majorHAnsi" w:eastAsiaTheme="majorEastAsia" w:hAnsiTheme="majorHAnsi" w:cstheme="majorBidi"/>
          <w:i/>
          <w:iCs/>
          <w:color w:val="365F91" w:themeColor="accent1" w:themeShade="BF"/>
          <w:sz w:val="22"/>
          <w:szCs w:val="22"/>
          <w:lang w:eastAsia="ja-JP"/>
        </w:rPr>
        <w:t>.c</w:t>
      </w:r>
      <w:proofErr w:type="gramEnd"/>
      <w:r w:rsidR="00CA3598" w:rsidRPr="00236658">
        <w:rPr>
          <w:rFonts w:asciiTheme="majorHAnsi" w:eastAsiaTheme="majorEastAsia" w:hAnsiTheme="majorHAnsi" w:cstheme="majorBidi"/>
          <w:i/>
          <w:iCs/>
          <w:color w:val="365F91" w:themeColor="accent1" w:themeShade="BF"/>
          <w:sz w:val="22"/>
          <w:szCs w:val="22"/>
          <w:lang w:eastAsia="ja-JP"/>
        </w:rPr>
        <w:t xml:space="preserve"> </w:t>
      </w:r>
      <w:r w:rsidR="0018554E" w:rsidRPr="00236658">
        <w:rPr>
          <w:rFonts w:asciiTheme="majorHAnsi" w:eastAsiaTheme="majorEastAsia" w:hAnsiTheme="majorHAnsi" w:cstheme="majorBidi"/>
          <w:i/>
          <w:iCs/>
          <w:color w:val="365F91" w:themeColor="accent1" w:themeShade="BF"/>
          <w:sz w:val="22"/>
          <w:szCs w:val="22"/>
          <w:lang w:eastAsia="ja-JP"/>
        </w:rPr>
        <w:t xml:space="preserve">Az Európai Parlament </w:t>
      </w:r>
      <w:r w:rsidR="0018554E">
        <w:rPr>
          <w:rFonts w:asciiTheme="majorHAnsi" w:eastAsiaTheme="majorEastAsia" w:hAnsiTheme="majorHAnsi" w:cstheme="majorBidi"/>
          <w:i/>
          <w:iCs/>
          <w:color w:val="365F91" w:themeColor="accent1" w:themeShade="BF"/>
          <w:sz w:val="22"/>
          <w:szCs w:val="22"/>
          <w:lang w:eastAsia="ja-JP"/>
        </w:rPr>
        <w:t>é</w:t>
      </w:r>
      <w:r w:rsidR="0018554E" w:rsidRPr="00236658">
        <w:rPr>
          <w:rFonts w:asciiTheme="majorHAnsi" w:eastAsiaTheme="majorEastAsia" w:hAnsiTheme="majorHAnsi" w:cstheme="majorBidi"/>
          <w:i/>
          <w:iCs/>
          <w:color w:val="365F91" w:themeColor="accent1" w:themeShade="BF"/>
          <w:sz w:val="22"/>
          <w:szCs w:val="22"/>
          <w:lang w:eastAsia="ja-JP"/>
        </w:rPr>
        <w:t xml:space="preserve">s </w:t>
      </w:r>
      <w:r w:rsidR="0018554E">
        <w:rPr>
          <w:rFonts w:asciiTheme="majorHAnsi" w:eastAsiaTheme="majorEastAsia" w:hAnsiTheme="majorHAnsi" w:cstheme="majorBidi"/>
          <w:i/>
          <w:iCs/>
          <w:color w:val="365F91" w:themeColor="accent1" w:themeShade="BF"/>
          <w:sz w:val="22"/>
          <w:szCs w:val="22"/>
          <w:lang w:eastAsia="ja-JP"/>
        </w:rPr>
        <w:t>a</w:t>
      </w:r>
      <w:r w:rsidR="0018554E" w:rsidRPr="00236658">
        <w:rPr>
          <w:rFonts w:asciiTheme="majorHAnsi" w:eastAsiaTheme="majorEastAsia" w:hAnsiTheme="majorHAnsi" w:cstheme="majorBidi"/>
          <w:i/>
          <w:iCs/>
          <w:color w:val="365F91" w:themeColor="accent1" w:themeShade="BF"/>
          <w:sz w:val="22"/>
          <w:szCs w:val="22"/>
          <w:lang w:eastAsia="ja-JP"/>
        </w:rPr>
        <w:t xml:space="preserve"> Tanács 2012/29/E</w:t>
      </w:r>
      <w:r w:rsidR="0018554E">
        <w:rPr>
          <w:rFonts w:asciiTheme="majorHAnsi" w:eastAsiaTheme="majorEastAsia" w:hAnsiTheme="majorHAnsi" w:cstheme="majorBidi"/>
          <w:i/>
          <w:iCs/>
          <w:color w:val="365F91" w:themeColor="accent1" w:themeShade="BF"/>
          <w:sz w:val="22"/>
          <w:szCs w:val="22"/>
          <w:lang w:eastAsia="ja-JP"/>
        </w:rPr>
        <w:t>U</w:t>
      </w:r>
      <w:r w:rsidR="0018554E" w:rsidRPr="00236658">
        <w:rPr>
          <w:rFonts w:asciiTheme="majorHAnsi" w:eastAsiaTheme="majorEastAsia" w:hAnsiTheme="majorHAnsi" w:cstheme="majorBidi"/>
          <w:i/>
          <w:iCs/>
          <w:color w:val="365F91" w:themeColor="accent1" w:themeShade="BF"/>
          <w:sz w:val="22"/>
          <w:szCs w:val="22"/>
          <w:lang w:eastAsia="ja-JP"/>
        </w:rPr>
        <w:t xml:space="preserve"> Irányelve</w:t>
      </w:r>
      <w:r w:rsidR="00236658" w:rsidRPr="00236658">
        <w:rPr>
          <w:rFonts w:asciiTheme="majorHAnsi" w:eastAsiaTheme="majorEastAsia" w:hAnsiTheme="majorHAnsi" w:cstheme="majorBidi"/>
          <w:i/>
          <w:iCs/>
          <w:color w:val="365F91" w:themeColor="accent1" w:themeShade="BF"/>
          <w:sz w:val="22"/>
          <w:szCs w:val="22"/>
          <w:lang w:eastAsia="ja-JP"/>
        </w:rPr>
        <w:t>(2012. október 25.)a bűncselekmények áldozatainak jogaira, támogatására és védelmére vonatkozó minimumszabályok megállapításáról és a 2001/220/IB tanácsi kerethatározat felváltásáról</w:t>
      </w:r>
    </w:p>
    <w:bookmarkEnd w:id="32"/>
    <w:p w:rsidR="00CA3598" w:rsidRPr="0018554E" w:rsidRDefault="00CA3598" w:rsidP="00CA3598">
      <w:pPr>
        <w:rPr>
          <w:rFonts w:ascii="Times New Roman" w:eastAsia="Times New Roman" w:hAnsi="Times New Roman" w:cs="Times New Roman"/>
          <w:i/>
          <w:color w:val="000000"/>
          <w:u w:val="single"/>
        </w:rPr>
      </w:pPr>
      <w:r w:rsidRPr="0018554E">
        <w:rPr>
          <w:rFonts w:ascii="Times New Roman" w:eastAsia="Times New Roman" w:hAnsi="Times New Roman" w:cs="Times New Roman"/>
          <w:i/>
          <w:color w:val="000000"/>
          <w:u w:val="single"/>
        </w:rPr>
        <w:t>22</w:t>
      </w:r>
      <w:r w:rsidR="0018554E" w:rsidRPr="0018554E">
        <w:rPr>
          <w:rFonts w:ascii="Times New Roman" w:eastAsia="Times New Roman" w:hAnsi="Times New Roman" w:cs="Times New Roman"/>
          <w:i/>
          <w:color w:val="000000"/>
          <w:u w:val="single"/>
        </w:rPr>
        <w:t xml:space="preserve">. cikk </w:t>
      </w:r>
      <w:r w:rsidRPr="0018554E">
        <w:rPr>
          <w:rFonts w:ascii="Times New Roman" w:eastAsia="Times New Roman" w:hAnsi="Times New Roman" w:cs="Times New Roman"/>
          <w:i/>
          <w:color w:val="000000"/>
          <w:u w:val="single"/>
        </w:rPr>
        <w:t>(3)</w:t>
      </w:r>
      <w:r w:rsidR="0018554E" w:rsidRPr="0018554E">
        <w:rPr>
          <w:rFonts w:ascii="Times New Roman" w:eastAsia="Times New Roman" w:hAnsi="Times New Roman" w:cs="Times New Roman"/>
          <w:i/>
          <w:color w:val="000000"/>
          <w:u w:val="single"/>
        </w:rPr>
        <w:t xml:space="preserve"> pont</w:t>
      </w:r>
    </w:p>
    <w:p w:rsidR="00CA3598" w:rsidRPr="00653AE5" w:rsidRDefault="0018554E" w:rsidP="00CA3598">
      <w:r w:rsidRPr="0018554E">
        <w:rPr>
          <w:rFonts w:ascii="Times New Roman" w:eastAsia="Times New Roman" w:hAnsi="Times New Roman" w:cs="Times New Roman"/>
          <w:color w:val="000000"/>
        </w:rPr>
        <w:t xml:space="preserve">Az egyéni értékelés keretében különös figyelmet kell fordítani azon áldozatokra, akik a bűncselekmény súlya folytán jelentős sérelmet szenvedtek; azon áldozatokra, ahol az őket érintő bűncselekményt előítéleten vagy megkülönböztetésen alapuló indítékkal követték el, és amely különösen személyes jellemzőikhez köthető; azon áldozatokra, akik az elkövetőhöz fűződő kapcsolatuk vagy a tőle való függőségük okán különösen veszélyeztetettek. Ezzel összefüggésben kellően tekintetbe kell venni a terrorizmus, a szervezett bűnözés, az </w:t>
      </w:r>
      <w:r w:rsidRPr="0018554E">
        <w:rPr>
          <w:rFonts w:ascii="Times New Roman" w:eastAsia="Times New Roman" w:hAnsi="Times New Roman" w:cs="Times New Roman"/>
          <w:color w:val="000000"/>
        </w:rPr>
        <w:lastRenderedPageBreak/>
        <w:t>emberkereskedelem, a nemi alapú erőszak, a hozzátartozók közötti erőszak, a szexuális erőszak vagy a szexuális kizsákmányolás és a gyűlölet-bűncselekmények áldozatait, valamint a fogyatékossággal élő áldozatokat.</w:t>
      </w:r>
      <w:r w:rsidR="00CA3598" w:rsidRPr="0018554E">
        <w:rPr>
          <w:rFonts w:ascii="Times New Roman" w:hAnsi="Times New Roman" w:cs="Times New Roman"/>
          <w:vertAlign w:val="superscript"/>
        </w:rPr>
        <w:footnoteReference w:id="41"/>
      </w:r>
    </w:p>
    <w:p w:rsidR="00CA3598" w:rsidRPr="00653AE5" w:rsidRDefault="001D4B7B" w:rsidP="00CA3598">
      <w:r>
        <w:t>Fontos azonban megjegyezni, hogy ennek az irányelvnek a végrehajtása egy sor nehézségbe ütközik, többek közt abba a ténybe, hogy szakemberek szerint úgy tűnik, hogy a gyűlölet-bűncselekmények áldozatai általában vonakodnak feljelentést tenni. E vonakodás okai között szerepel az</w:t>
      </w:r>
      <w:r w:rsidR="006B76A0">
        <w:t>,</w:t>
      </w:r>
      <w:r>
        <w:t xml:space="preserve"> hogy sem ők maguk (mármint az áldozatok), sem a rendőrség, sem a bíróság nincs igazán tisztában a gyűlölet-bűncselekmények mibenlétével, és az is hogy az áldozatok attól félnek, hogy a feljelentés során hasonlóan diszkriminatív módon bánnak velük, mint az </w:t>
      </w:r>
      <w:proofErr w:type="gramStart"/>
      <w:r>
        <w:t>elkövető(</w:t>
      </w:r>
      <w:proofErr w:type="gramEnd"/>
      <w:r>
        <w:t>k), csak ezúttal állami hivatalnokok teszik ugyanezt.</w:t>
      </w:r>
      <w:r w:rsidR="00CA3598" w:rsidRPr="00653AE5">
        <w:rPr>
          <w:vertAlign w:val="superscript"/>
        </w:rPr>
        <w:footnoteReference w:id="42"/>
      </w:r>
    </w:p>
    <w:p w:rsidR="00CA3598" w:rsidRPr="00653AE5" w:rsidRDefault="00CA3598" w:rsidP="00CA3598"/>
    <w:p w:rsidR="008541CA" w:rsidRPr="00653AE5" w:rsidRDefault="008541CA" w:rsidP="008541CA">
      <w:pPr>
        <w:pStyle w:val="Cmsor3"/>
      </w:pPr>
      <w:bookmarkStart w:id="33" w:name="_Toc346544868"/>
      <w:bookmarkStart w:id="34" w:name="_Toc346570276"/>
      <w:bookmarkStart w:id="35" w:name="_Toc515458786"/>
      <w:r w:rsidRPr="00653AE5">
        <w:t>4.</w:t>
      </w:r>
      <w:r w:rsidR="00CA3598" w:rsidRPr="00653AE5">
        <w:t xml:space="preserve">2.2. </w:t>
      </w:r>
      <w:bookmarkEnd w:id="33"/>
      <w:bookmarkEnd w:id="34"/>
      <w:r w:rsidR="0011272E" w:rsidRPr="00653AE5">
        <w:t>Európa Tanács</w:t>
      </w:r>
      <w:bookmarkEnd w:id="35"/>
    </w:p>
    <w:p w:rsidR="003B173F" w:rsidRDefault="003B173F" w:rsidP="00CA3598">
      <w:pPr>
        <w:pStyle w:val="Cmsor4"/>
      </w:pPr>
      <w:bookmarkStart w:id="36" w:name="_Toc346570279"/>
    </w:p>
    <w:p w:rsidR="003B173F" w:rsidRPr="00626229" w:rsidRDefault="003B173F" w:rsidP="003B173F">
      <w:pPr>
        <w:pStyle w:val="Cmsor1"/>
        <w:spacing w:before="0" w:line="264" w:lineRule="atLeast"/>
        <w:rPr>
          <w:i/>
          <w:sz w:val="22"/>
          <w:szCs w:val="22"/>
        </w:rPr>
      </w:pPr>
      <w:bookmarkStart w:id="37" w:name="_Toc515458787"/>
      <w:r w:rsidRPr="00626229">
        <w:rPr>
          <w:i/>
          <w:iCs/>
          <w:sz w:val="22"/>
          <w:szCs w:val="22"/>
        </w:rPr>
        <w:t>4.2.2.</w:t>
      </w:r>
      <w:proofErr w:type="gramStart"/>
      <w:r w:rsidRPr="00626229">
        <w:rPr>
          <w:i/>
          <w:iCs/>
          <w:sz w:val="22"/>
          <w:szCs w:val="22"/>
        </w:rPr>
        <w:t>a</w:t>
      </w:r>
      <w:proofErr w:type="gramEnd"/>
      <w:r>
        <w:rPr>
          <w:i/>
          <w:iCs/>
          <w:sz w:val="22"/>
          <w:szCs w:val="22"/>
        </w:rPr>
        <w:t xml:space="preserve"> </w:t>
      </w:r>
      <w:r w:rsidRPr="00626229">
        <w:rPr>
          <w:i/>
          <w:iCs/>
          <w:sz w:val="22"/>
          <w:szCs w:val="22"/>
        </w:rPr>
        <w:t>Egyezmény az emberi jogok és alapvető szabadságok védelméről</w:t>
      </w:r>
      <w:r w:rsidRPr="00626229">
        <w:rPr>
          <w:i/>
          <w:sz w:val="22"/>
          <w:szCs w:val="22"/>
        </w:rPr>
        <w:t xml:space="preserve"> (</w:t>
      </w:r>
      <w:hyperlink r:id="rId33" w:history="1">
        <w:r w:rsidRPr="00626229">
          <w:rPr>
            <w:rStyle w:val="Hiperhivatkozs"/>
            <w:i/>
            <w:sz w:val="22"/>
            <w:szCs w:val="22"/>
          </w:rPr>
          <w:t>link</w:t>
        </w:r>
      </w:hyperlink>
      <w:r w:rsidRPr="00626229">
        <w:rPr>
          <w:i/>
          <w:sz w:val="22"/>
          <w:szCs w:val="22"/>
        </w:rPr>
        <w:t>)</w:t>
      </w:r>
      <w:bookmarkEnd w:id="37"/>
    </w:p>
    <w:p w:rsidR="003B173F" w:rsidRPr="0018554E" w:rsidRDefault="003B173F" w:rsidP="003B173F">
      <w:pPr>
        <w:spacing w:after="0" w:line="240" w:lineRule="auto"/>
        <w:rPr>
          <w:rFonts w:ascii="Times New Roman" w:hAnsi="Times New Roman" w:cs="Times New Roman"/>
          <w:i/>
          <w:u w:val="single"/>
        </w:rPr>
      </w:pPr>
      <w:r w:rsidRPr="0018554E">
        <w:rPr>
          <w:rFonts w:ascii="Times New Roman" w:hAnsi="Times New Roman" w:cs="Times New Roman"/>
          <w:i/>
          <w:u w:val="single"/>
        </w:rPr>
        <w:t>14. cikk</w:t>
      </w:r>
    </w:p>
    <w:p w:rsidR="003B173F" w:rsidRPr="0018554E" w:rsidRDefault="003B173F" w:rsidP="003B173F">
      <w:pPr>
        <w:spacing w:after="0" w:line="240" w:lineRule="auto"/>
        <w:rPr>
          <w:rFonts w:ascii="Times New Roman" w:hAnsi="Times New Roman" w:cs="Times New Roman"/>
          <w:i/>
          <w:u w:val="single"/>
        </w:rPr>
      </w:pPr>
      <w:r w:rsidRPr="0018554E">
        <w:rPr>
          <w:rFonts w:ascii="Times New Roman" w:hAnsi="Times New Roman" w:cs="Times New Roman"/>
          <w:i/>
          <w:u w:val="single"/>
        </w:rPr>
        <w:t>Megkülönböztetés tilalma</w:t>
      </w:r>
    </w:p>
    <w:p w:rsidR="003B173F" w:rsidRPr="00653AE5" w:rsidRDefault="003B173F" w:rsidP="003B173F">
      <w:pPr>
        <w:spacing w:after="0" w:line="240" w:lineRule="auto"/>
      </w:pPr>
    </w:p>
    <w:p w:rsidR="003B173F" w:rsidRPr="003B173F" w:rsidRDefault="003B173F" w:rsidP="003B173F">
      <w:pPr>
        <w:pStyle w:val="NormlWeb"/>
        <w:spacing w:before="0" w:beforeAutospacing="0" w:after="200" w:afterAutospacing="0"/>
        <w:jc w:val="both"/>
        <w:rPr>
          <w:rFonts w:eastAsiaTheme="minorEastAsia"/>
          <w:sz w:val="22"/>
          <w:szCs w:val="22"/>
          <w:lang w:eastAsia="ja-JP"/>
        </w:rPr>
      </w:pPr>
      <w:r w:rsidRPr="00626229">
        <w:rPr>
          <w:rFonts w:eastAsiaTheme="minorEastAsia"/>
          <w:sz w:val="22"/>
          <w:szCs w:val="22"/>
          <w:lang w:eastAsia="ja-JP"/>
        </w:rPr>
        <w:t>A jelen Egyezményben meghatározott jogok és szabadságok élvezetét minden megkülönböztetés, például nem, faj, szín, nyelv, vallás, politikai vagy egyéb vélemény, nemzeti vagy társadalmi származás, nemzeti kisebbséghez tartozás, vagyoni helyzet, születés szerinti vagy egyéb helyzet alapján történő megkülönböztetés nélkül kell biztosítani.</w:t>
      </w:r>
    </w:p>
    <w:p w:rsidR="003B173F" w:rsidRPr="003B173F" w:rsidRDefault="003B173F" w:rsidP="003B173F"/>
    <w:p w:rsidR="00CA3598" w:rsidRPr="00653AE5" w:rsidRDefault="008541CA" w:rsidP="00CA3598">
      <w:pPr>
        <w:pStyle w:val="Cmsor4"/>
      </w:pPr>
      <w:r w:rsidRPr="00653AE5">
        <w:t>4.</w:t>
      </w:r>
      <w:r w:rsidR="00CA3598" w:rsidRPr="00653AE5">
        <w:t>2</w:t>
      </w:r>
      <w:r w:rsidRPr="00653AE5">
        <w:t>.2</w:t>
      </w:r>
      <w:proofErr w:type="gramStart"/>
      <w:r w:rsidRPr="00653AE5">
        <w:t>.</w:t>
      </w:r>
      <w:r w:rsidR="003B173F">
        <w:t>b</w:t>
      </w:r>
      <w:proofErr w:type="gramEnd"/>
      <w:r w:rsidR="00CA3598" w:rsidRPr="00653AE5">
        <w:t xml:space="preserve"> ECRI</w:t>
      </w:r>
      <w:bookmarkEnd w:id="36"/>
    </w:p>
    <w:p w:rsidR="00CA3598" w:rsidRDefault="001D4B7B" w:rsidP="00CA3598">
      <w:r>
        <w:t xml:space="preserve">Az </w:t>
      </w:r>
      <w:r w:rsidR="00CA3598" w:rsidRPr="00653AE5">
        <w:t xml:space="preserve">ECRI </w:t>
      </w:r>
      <w:r w:rsidR="006F503B">
        <w:t>az Európa Tanács</w:t>
      </w:r>
      <w:r w:rsidR="003B173F">
        <w:t xml:space="preserve"> </w:t>
      </w:r>
      <w:r w:rsidR="006F503B">
        <w:t>független szakértőkből álló emberi jogi testülete, amely rasszizmus, az idegengyűlölet, az antiszemitizmus, az intolerancia és a „faji” vagy nemzeti/etnikai alapú, illetve bőrszín, állampolgárság, vallás és nyelv alapján történő megkülönböztetés problémáit kíséri figyelemmel, illetve jelentéseket és ajánlásokat készít a tagállamok számára</w:t>
      </w:r>
      <w:r w:rsidR="00CA3598" w:rsidRPr="00653AE5">
        <w:t xml:space="preserve">. </w:t>
      </w:r>
      <w:r w:rsidR="00CA3598" w:rsidRPr="00653AE5">
        <w:rPr>
          <w:vertAlign w:val="superscript"/>
        </w:rPr>
        <w:footnoteReference w:id="43"/>
      </w:r>
    </w:p>
    <w:p w:rsidR="006F503B" w:rsidRPr="00653AE5" w:rsidRDefault="006F503B" w:rsidP="00CA3598"/>
    <w:p w:rsidR="00CA3598" w:rsidRPr="00653AE5" w:rsidRDefault="006F503B" w:rsidP="00CA359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sz w:val="20"/>
          <w:szCs w:val="20"/>
        </w:rPr>
      </w:pPr>
      <w:r>
        <w:rPr>
          <w:rFonts w:eastAsia="Times New Roman" w:cs="Arial"/>
          <w:shd w:val="clear" w:color="auto" w:fill="FFFFFF"/>
        </w:rPr>
        <w:t xml:space="preserve">Az </w:t>
      </w:r>
      <w:r w:rsidR="00CA3598" w:rsidRPr="00653AE5">
        <w:rPr>
          <w:rFonts w:eastAsia="Times New Roman" w:cs="Arial"/>
          <w:shd w:val="clear" w:color="auto" w:fill="FFFFFF"/>
        </w:rPr>
        <w:t xml:space="preserve">ECRI </w:t>
      </w:r>
      <w:r>
        <w:rPr>
          <w:rFonts w:eastAsia="Times New Roman" w:cs="Arial"/>
          <w:shd w:val="clear" w:color="auto" w:fill="FFFFFF"/>
        </w:rPr>
        <w:t xml:space="preserve">készít valamennyi tagállam kormányának szóló Általános Politikai Ajánlásokat is. </w:t>
      </w:r>
      <w:proofErr w:type="gramStart"/>
      <w:r>
        <w:rPr>
          <w:rFonts w:eastAsia="Times New Roman" w:cs="Arial"/>
          <w:shd w:val="clear" w:color="auto" w:fill="FFFFFF"/>
        </w:rPr>
        <w:t xml:space="preserve">Ezek részletes útmutatást tartalmaznak, amelyeket számos terület nemzeti stratégiáinak </w:t>
      </w:r>
      <w:r w:rsidR="00ED33AD">
        <w:rPr>
          <w:rFonts w:eastAsia="Times New Roman" w:cs="Arial"/>
          <w:shd w:val="clear" w:color="auto" w:fill="FFFFFF"/>
        </w:rPr>
        <w:t xml:space="preserve">és irányelveinek </w:t>
      </w:r>
      <w:r>
        <w:rPr>
          <w:rFonts w:eastAsia="Times New Roman" w:cs="Arial"/>
          <w:shd w:val="clear" w:color="auto" w:fill="FFFFFF"/>
        </w:rPr>
        <w:t>felvázolása során javasolnak használni</w:t>
      </w:r>
      <w:r w:rsidR="00CA3598" w:rsidRPr="00653AE5">
        <w:rPr>
          <w:rFonts w:eastAsia="Times New Roman" w:cs="Arial"/>
          <w:shd w:val="clear" w:color="auto" w:fill="FFFFFF"/>
        </w:rPr>
        <w:t>. </w:t>
      </w:r>
      <w:r w:rsidR="00CA3598" w:rsidRPr="00653AE5">
        <w:rPr>
          <w:rFonts w:eastAsia="Times New Roman" w:cs="Arial"/>
        </w:rPr>
        <w:br/>
      </w:r>
      <w:r w:rsidR="00CA3598" w:rsidRPr="00653AE5">
        <w:rPr>
          <w:rFonts w:eastAsia="Times New Roman" w:cs="Times New Roman"/>
          <w:color w:val="444444"/>
          <w:sz w:val="20"/>
          <w:szCs w:val="20"/>
        </w:rPr>
        <w:br/>
      </w:r>
      <w:r w:rsidR="00CA3598" w:rsidRPr="00653AE5">
        <w:rPr>
          <w:rFonts w:eastAsia="Times New Roman" w:cs="Times New Roman"/>
          <w:noProof/>
          <w:sz w:val="20"/>
          <w:szCs w:val="20"/>
        </w:rPr>
        <w:drawing>
          <wp:inline distT="0" distB="0" distL="0" distR="0">
            <wp:extent cx="130810" cy="130810"/>
            <wp:effectExtent l="0" t="0" r="0" b="0"/>
            <wp:docPr id="19" name="Picture 18"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hyperlink r:id="rId35" w:history="1">
        <w:r w:rsidR="00AA0B48">
          <w:rPr>
            <w:rFonts w:eastAsia="Times New Roman" w:cs="Times New Roman"/>
            <w:color w:val="0066CC"/>
            <w:sz w:val="20"/>
            <w:szCs w:val="20"/>
            <w:u w:val="single"/>
            <w:shd w:val="clear" w:color="auto" w:fill="FFFFFF"/>
          </w:rPr>
          <w:t>Az E</w:t>
        </w:r>
        <w:r w:rsidR="00CA3598" w:rsidRPr="00653AE5">
          <w:rPr>
            <w:rFonts w:eastAsia="Times New Roman" w:cs="Times New Roman"/>
            <w:color w:val="0066CC"/>
            <w:sz w:val="20"/>
            <w:szCs w:val="20"/>
            <w:u w:val="single"/>
            <w:shd w:val="clear" w:color="auto" w:fill="FFFFFF"/>
          </w:rPr>
          <w:t xml:space="preserve">CRI </w:t>
        </w:r>
        <w:r>
          <w:rPr>
            <w:rFonts w:eastAsia="Times New Roman" w:cs="Times New Roman"/>
            <w:color w:val="0066CC"/>
            <w:sz w:val="20"/>
            <w:szCs w:val="20"/>
            <w:u w:val="single"/>
            <w:shd w:val="clear" w:color="auto" w:fill="FFFFFF"/>
          </w:rPr>
          <w:t>Általános Irányelv Ajánlása</w:t>
        </w:r>
        <w:r w:rsidR="00CA3598" w:rsidRPr="00653AE5">
          <w:rPr>
            <w:rFonts w:eastAsia="Times New Roman" w:cs="Times New Roman"/>
            <w:color w:val="0066CC"/>
            <w:sz w:val="20"/>
            <w:szCs w:val="20"/>
            <w:u w:val="single"/>
            <w:shd w:val="clear" w:color="auto" w:fill="FFFFFF"/>
          </w:rPr>
          <w:t xml:space="preserve"> No.1:</w:t>
        </w:r>
      </w:hyperlink>
      <w:r w:rsidR="00CA3598" w:rsidRPr="00653AE5">
        <w:rPr>
          <w:rFonts w:eastAsia="Times New Roman" w:cs="Times New Roman"/>
          <w:color w:val="444444"/>
          <w:shd w:val="clear" w:color="auto" w:fill="FFFFFF"/>
        </w:rPr>
        <w:t> </w:t>
      </w:r>
      <w:r w:rsidR="00ED33AD" w:rsidRPr="00ED33AD">
        <w:rPr>
          <w:color w:val="444444"/>
          <w:sz w:val="20"/>
          <w:szCs w:val="20"/>
          <w:shd w:val="clear" w:color="auto" w:fill="FFFFFF"/>
        </w:rPr>
        <w:t xml:space="preserve">Harc a rasszizmus,az idegengyűlölet,az antiszemitizmus és az intolerancia </w:t>
      </w:r>
      <w:r w:rsidR="00ED33AD">
        <w:rPr>
          <w:color w:val="444444"/>
          <w:sz w:val="20"/>
          <w:szCs w:val="20"/>
          <w:shd w:val="clear" w:color="auto" w:fill="FFFFFF"/>
        </w:rPr>
        <w:t>e</w:t>
      </w:r>
      <w:r w:rsidR="00ED33AD" w:rsidRPr="00ED33AD">
        <w:rPr>
          <w:color w:val="444444"/>
          <w:sz w:val="20"/>
          <w:szCs w:val="20"/>
          <w:shd w:val="clear" w:color="auto" w:fill="FFFFFF"/>
        </w:rPr>
        <w:t>llen</w:t>
      </w:r>
      <w:r w:rsidR="00CA3598" w:rsidRPr="00653AE5">
        <w:rPr>
          <w:rFonts w:eastAsia="Times New Roman" w:cs="Times New Roman"/>
          <w:color w:val="444444"/>
          <w:shd w:val="clear" w:color="auto" w:fill="FFFFFF"/>
        </w:rPr>
        <w:t> </w:t>
      </w:r>
      <w:r w:rsidR="00CA3598" w:rsidRPr="00653AE5">
        <w:rPr>
          <w:rFonts w:eastAsia="Times New Roman" w:cs="Times New Roman"/>
          <w:color w:val="444444"/>
          <w:sz w:val="20"/>
          <w:szCs w:val="20"/>
        </w:rPr>
        <w:br/>
      </w:r>
      <w:r w:rsidR="00CA3598" w:rsidRPr="00653AE5">
        <w:rPr>
          <w:rFonts w:eastAsia="Times New Roman" w:cs="Times New Roman"/>
          <w:noProof/>
          <w:sz w:val="20"/>
          <w:szCs w:val="20"/>
        </w:rPr>
        <w:lastRenderedPageBreak/>
        <w:drawing>
          <wp:inline distT="0" distB="0" distL="0" distR="0">
            <wp:extent cx="130810" cy="130810"/>
            <wp:effectExtent l="0" t="0" r="0" b="0"/>
            <wp:docPr id="20" name="Picture 17"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hyperlink r:id="rId36" w:history="1">
        <w:r w:rsidR="00CA3598" w:rsidRPr="00653AE5">
          <w:rPr>
            <w:rFonts w:eastAsia="Times New Roman" w:cs="Times New Roman"/>
            <w:color w:val="0066CC"/>
            <w:sz w:val="20"/>
            <w:szCs w:val="20"/>
            <w:u w:val="single"/>
            <w:shd w:val="clear" w:color="auto" w:fill="FFFFFF"/>
          </w:rPr>
          <w:t xml:space="preserve">ECRI General Policy </w:t>
        </w:r>
        <w:proofErr w:type="spellStart"/>
        <w:r w:rsidR="00CA3598" w:rsidRPr="00653AE5">
          <w:rPr>
            <w:rFonts w:eastAsia="Times New Roman" w:cs="Times New Roman"/>
            <w:color w:val="0066CC"/>
            <w:sz w:val="20"/>
            <w:szCs w:val="20"/>
            <w:u w:val="single"/>
            <w:shd w:val="clear" w:color="auto" w:fill="FFFFFF"/>
          </w:rPr>
          <w:t>Recommendation</w:t>
        </w:r>
        <w:proofErr w:type="spellEnd"/>
        <w:r w:rsidR="00CA3598" w:rsidRPr="00653AE5">
          <w:rPr>
            <w:rFonts w:eastAsia="Times New Roman" w:cs="Times New Roman"/>
            <w:color w:val="0066CC"/>
            <w:sz w:val="20"/>
            <w:szCs w:val="20"/>
            <w:u w:val="single"/>
            <w:shd w:val="clear" w:color="auto" w:fill="FFFFFF"/>
          </w:rPr>
          <w:t xml:space="preserve"> No.2:</w:t>
        </w:r>
      </w:hyperlink>
      <w:r w:rsidR="00CA3598" w:rsidRPr="00653AE5">
        <w:rPr>
          <w:rFonts w:eastAsia="Times New Roman" w:cs="Times New Roman"/>
          <w:color w:val="444444"/>
          <w:shd w:val="clear" w:color="auto" w:fill="FFFFFF"/>
        </w:rPr>
        <w:t> </w:t>
      </w:r>
      <w:proofErr w:type="spellStart"/>
      <w:r w:rsidR="00CA3598" w:rsidRPr="00653AE5">
        <w:rPr>
          <w:rFonts w:eastAsia="Times New Roman" w:cs="Times New Roman"/>
          <w:color w:val="444444"/>
          <w:sz w:val="20"/>
          <w:szCs w:val="20"/>
          <w:shd w:val="clear" w:color="auto" w:fill="FFFFFF"/>
        </w:rPr>
        <w:t>Specialisedbodiestocombatracism</w:t>
      </w:r>
      <w:proofErr w:type="spellEnd"/>
      <w:r w:rsidR="00CA3598" w:rsidRPr="00653AE5">
        <w:rPr>
          <w:rFonts w:eastAsia="Times New Roman" w:cs="Times New Roman"/>
          <w:color w:val="444444"/>
          <w:sz w:val="20"/>
          <w:szCs w:val="20"/>
          <w:shd w:val="clear" w:color="auto" w:fill="FFFFFF"/>
        </w:rPr>
        <w:t xml:space="preserve">, </w:t>
      </w:r>
      <w:proofErr w:type="spellStart"/>
      <w:r w:rsidR="00CA3598" w:rsidRPr="00653AE5">
        <w:rPr>
          <w:rFonts w:eastAsia="Times New Roman" w:cs="Times New Roman"/>
          <w:color w:val="444444"/>
          <w:sz w:val="20"/>
          <w:szCs w:val="20"/>
          <w:shd w:val="clear" w:color="auto" w:fill="FFFFFF"/>
        </w:rPr>
        <w:t>xenophobia</w:t>
      </w:r>
      <w:proofErr w:type="spellEnd"/>
      <w:r w:rsidR="00CA3598" w:rsidRPr="00653AE5">
        <w:rPr>
          <w:rFonts w:eastAsia="Times New Roman" w:cs="Times New Roman"/>
          <w:color w:val="444444"/>
          <w:sz w:val="20"/>
          <w:szCs w:val="20"/>
          <w:shd w:val="clear" w:color="auto" w:fill="FFFFFF"/>
        </w:rPr>
        <w:t xml:space="preserve">, </w:t>
      </w:r>
      <w:proofErr w:type="spellStart"/>
      <w:r w:rsidR="00CA3598" w:rsidRPr="00653AE5">
        <w:rPr>
          <w:rFonts w:eastAsia="Times New Roman" w:cs="Times New Roman"/>
          <w:color w:val="444444"/>
          <w:sz w:val="20"/>
          <w:szCs w:val="20"/>
          <w:shd w:val="clear" w:color="auto" w:fill="FFFFFF"/>
        </w:rPr>
        <w:t>antisemitism</w:t>
      </w:r>
      <w:proofErr w:type="spellEnd"/>
      <w:r w:rsidR="00CA3598" w:rsidRPr="00653AE5">
        <w:rPr>
          <w:rFonts w:eastAsia="Times New Roman" w:cs="Times New Roman"/>
          <w:color w:val="444444"/>
          <w:sz w:val="20"/>
          <w:szCs w:val="20"/>
          <w:shd w:val="clear" w:color="auto" w:fill="FFFFFF"/>
        </w:rPr>
        <w:t xml:space="preserve"> and </w:t>
      </w:r>
      <w:proofErr w:type="spellStart"/>
      <w:r w:rsidR="00CA3598" w:rsidRPr="00653AE5">
        <w:rPr>
          <w:rFonts w:eastAsia="Times New Roman" w:cs="Times New Roman"/>
          <w:color w:val="444444"/>
          <w:sz w:val="20"/>
          <w:szCs w:val="20"/>
          <w:shd w:val="clear" w:color="auto" w:fill="FFFFFF"/>
        </w:rPr>
        <w:t>intoleranceatnationallevel</w:t>
      </w:r>
      <w:proofErr w:type="spellEnd"/>
      <w:r w:rsidR="00CA3598" w:rsidRPr="00653AE5">
        <w:rPr>
          <w:rFonts w:eastAsia="Times New Roman" w:cs="Times New Roman"/>
          <w:color w:val="444444"/>
          <w:shd w:val="clear" w:color="auto" w:fill="FFFFFF"/>
        </w:rPr>
        <w:t> </w:t>
      </w:r>
      <w:r w:rsidR="00CA3598" w:rsidRPr="00653AE5">
        <w:rPr>
          <w:rFonts w:eastAsia="Times New Roman" w:cs="Times New Roman"/>
          <w:color w:val="444444"/>
          <w:sz w:val="20"/>
          <w:szCs w:val="20"/>
        </w:rPr>
        <w:br/>
      </w:r>
      <w:r w:rsidR="00CA3598" w:rsidRPr="00653AE5">
        <w:rPr>
          <w:rFonts w:eastAsia="Times New Roman" w:cs="Times New Roman"/>
          <w:noProof/>
          <w:sz w:val="20"/>
          <w:szCs w:val="20"/>
        </w:rPr>
        <w:drawing>
          <wp:inline distT="0" distB="0" distL="0" distR="0">
            <wp:extent cx="130810" cy="130810"/>
            <wp:effectExtent l="0" t="0" r="0" b="0"/>
            <wp:docPr id="21" name="Picture 3"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CA3598" w:rsidRPr="00653AE5">
        <w:rPr>
          <w:rFonts w:eastAsia="Times New Roman" w:cs="Times New Roman"/>
          <w:color w:val="444444"/>
          <w:shd w:val="clear" w:color="auto" w:fill="FFFFFF"/>
        </w:rPr>
        <w:t> </w:t>
      </w:r>
      <w:proofErr w:type="gramEnd"/>
      <w:r w:rsidR="00B40D80">
        <w:fldChar w:fldCharType="begin"/>
      </w:r>
      <w:r w:rsidR="00B40D80">
        <w:instrText xml:space="preserve"> HYPERLINK "ht</w:instrText>
      </w:r>
      <w:r w:rsidR="00B40D80">
        <w:instrText xml:space="preserve">tp://www.coe.int/t/dghl/monitoring/ecri/activities/GPR/EN/Recommendation_N3/default_en.asp" </w:instrText>
      </w:r>
      <w:r w:rsidR="00B40D80">
        <w:fldChar w:fldCharType="separate"/>
      </w:r>
      <w:proofErr w:type="gramStart"/>
      <w:r w:rsidR="00AA0B48">
        <w:rPr>
          <w:rFonts w:eastAsia="Times New Roman" w:cs="Times New Roman"/>
          <w:color w:val="0066CC"/>
          <w:sz w:val="20"/>
          <w:szCs w:val="20"/>
          <w:u w:val="single"/>
          <w:shd w:val="clear" w:color="auto" w:fill="FFFFFF"/>
        </w:rPr>
        <w:t>Az E</w:t>
      </w:r>
      <w:r w:rsidR="00ED33AD">
        <w:rPr>
          <w:rFonts w:eastAsia="Times New Roman" w:cs="Times New Roman"/>
          <w:color w:val="0066CC"/>
          <w:sz w:val="20"/>
          <w:szCs w:val="20"/>
          <w:u w:val="single"/>
          <w:shd w:val="clear" w:color="auto" w:fill="FFFFFF"/>
        </w:rPr>
        <w:t>CRI Á</w:t>
      </w:r>
      <w:r w:rsidR="00ED33AD" w:rsidRPr="00ED33AD">
        <w:rPr>
          <w:rFonts w:eastAsia="Times New Roman" w:cs="Times New Roman"/>
          <w:color w:val="0066CC"/>
          <w:sz w:val="20"/>
          <w:szCs w:val="20"/>
          <w:u w:val="single"/>
          <w:shd w:val="clear" w:color="auto" w:fill="FFFFFF"/>
        </w:rPr>
        <w:t>ltalános Irányelv Ajánlása</w:t>
      </w:r>
      <w:r w:rsidR="00CA3598" w:rsidRPr="00653AE5">
        <w:rPr>
          <w:rFonts w:eastAsia="Times New Roman" w:cs="Times New Roman"/>
          <w:color w:val="0066CC"/>
          <w:sz w:val="20"/>
          <w:szCs w:val="20"/>
          <w:u w:val="single"/>
          <w:shd w:val="clear" w:color="auto" w:fill="FFFFFF"/>
        </w:rPr>
        <w:t xml:space="preserve"> No.3:</w:t>
      </w:r>
      <w:r w:rsidR="00B40D80">
        <w:rPr>
          <w:rFonts w:eastAsia="Times New Roman" w:cs="Times New Roman"/>
          <w:color w:val="0066CC"/>
          <w:sz w:val="20"/>
          <w:szCs w:val="20"/>
          <w:u w:val="single"/>
          <w:shd w:val="clear" w:color="auto" w:fill="FFFFFF"/>
        </w:rPr>
        <w:fldChar w:fldCharType="end"/>
      </w:r>
      <w:r w:rsidR="00ED33AD">
        <w:rPr>
          <w:color w:val="444444"/>
          <w:sz w:val="20"/>
          <w:szCs w:val="20"/>
          <w:shd w:val="clear" w:color="auto" w:fill="FFFFFF"/>
        </w:rPr>
        <w:t>H</w:t>
      </w:r>
      <w:r w:rsidR="00ED33AD" w:rsidRPr="00ED33AD">
        <w:rPr>
          <w:color w:val="444444"/>
          <w:sz w:val="20"/>
          <w:szCs w:val="20"/>
          <w:shd w:val="clear" w:color="auto" w:fill="FFFFFF"/>
        </w:rPr>
        <w:t>arc a romákat/cigányokatsújtó fajgyűlöletés intolerancia ellen</w:t>
      </w:r>
      <w:r w:rsidR="00CA3598" w:rsidRPr="00653AE5">
        <w:rPr>
          <w:rFonts w:eastAsia="Times New Roman" w:cs="Times New Roman"/>
          <w:color w:val="444444"/>
          <w:shd w:val="clear" w:color="auto" w:fill="FFFFFF"/>
        </w:rPr>
        <w:t> </w:t>
      </w:r>
      <w:r w:rsidR="00CA3598" w:rsidRPr="00653AE5">
        <w:rPr>
          <w:rFonts w:eastAsia="Times New Roman" w:cs="Times New Roman"/>
          <w:color w:val="444444"/>
          <w:sz w:val="20"/>
          <w:szCs w:val="20"/>
        </w:rPr>
        <w:br/>
      </w:r>
      <w:r w:rsidR="00CA3598" w:rsidRPr="00653AE5">
        <w:rPr>
          <w:rFonts w:eastAsia="Times New Roman" w:cs="Times New Roman"/>
          <w:noProof/>
          <w:sz w:val="20"/>
          <w:szCs w:val="20"/>
        </w:rPr>
        <w:drawing>
          <wp:inline distT="0" distB="0" distL="0" distR="0">
            <wp:extent cx="130810" cy="130810"/>
            <wp:effectExtent l="0" t="0" r="0" b="0"/>
            <wp:docPr id="22" name="Picture 4"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CA3598" w:rsidRPr="00653AE5">
        <w:rPr>
          <w:rFonts w:eastAsia="Times New Roman" w:cs="Times New Roman"/>
          <w:color w:val="444444"/>
          <w:shd w:val="clear" w:color="auto" w:fill="FFFFFF"/>
        </w:rPr>
        <w:t> </w:t>
      </w:r>
      <w:hyperlink r:id="rId37" w:history="1">
        <w:r w:rsidR="00AA0B48">
          <w:rPr>
            <w:rFonts w:eastAsia="Times New Roman" w:cs="Times New Roman"/>
            <w:color w:val="0066CC"/>
            <w:sz w:val="20"/>
            <w:szCs w:val="20"/>
            <w:u w:val="single"/>
            <w:shd w:val="clear" w:color="auto" w:fill="FFFFFF"/>
          </w:rPr>
          <w:t>Az E</w:t>
        </w:r>
        <w:r w:rsidR="00CA3598" w:rsidRPr="00653AE5">
          <w:rPr>
            <w:rFonts w:eastAsia="Times New Roman" w:cs="Times New Roman"/>
            <w:color w:val="0066CC"/>
            <w:sz w:val="20"/>
            <w:szCs w:val="20"/>
            <w:u w:val="single"/>
            <w:shd w:val="clear" w:color="auto" w:fill="FFFFFF"/>
          </w:rPr>
          <w:t xml:space="preserve">CRI </w:t>
        </w:r>
        <w:r w:rsidR="00ED33AD" w:rsidRPr="00ED33AD">
          <w:rPr>
            <w:rFonts w:eastAsia="Times New Roman" w:cs="Times New Roman"/>
            <w:color w:val="0066CC"/>
            <w:sz w:val="20"/>
            <w:szCs w:val="20"/>
            <w:u w:val="single"/>
            <w:shd w:val="clear" w:color="auto" w:fill="FFFFFF"/>
          </w:rPr>
          <w:t>Általános Irányelv Ajánlása</w:t>
        </w:r>
        <w:r w:rsidR="00CA3598" w:rsidRPr="00653AE5">
          <w:rPr>
            <w:rFonts w:eastAsia="Times New Roman" w:cs="Times New Roman"/>
            <w:color w:val="0066CC"/>
            <w:sz w:val="20"/>
            <w:szCs w:val="20"/>
            <w:u w:val="single"/>
            <w:shd w:val="clear" w:color="auto" w:fill="FFFFFF"/>
          </w:rPr>
          <w:t xml:space="preserve"> No.4:</w:t>
        </w:r>
      </w:hyperlink>
      <w:r w:rsidR="00CA3598" w:rsidRPr="00653AE5">
        <w:rPr>
          <w:rFonts w:eastAsia="Times New Roman" w:cs="Times New Roman"/>
          <w:color w:val="444444"/>
          <w:shd w:val="clear" w:color="auto" w:fill="FFFFFF"/>
        </w:rPr>
        <w:t> </w:t>
      </w:r>
      <w:r w:rsidR="00ED33AD">
        <w:rPr>
          <w:color w:val="444444"/>
          <w:sz w:val="20"/>
          <w:szCs w:val="20"/>
          <w:shd w:val="clear" w:color="auto" w:fill="FFFFFF"/>
        </w:rPr>
        <w:t>O</w:t>
      </w:r>
      <w:r w:rsidR="00ED33AD" w:rsidRPr="00ED33AD">
        <w:rPr>
          <w:color w:val="444444"/>
          <w:sz w:val="20"/>
          <w:szCs w:val="20"/>
          <w:shd w:val="clear" w:color="auto" w:fill="FFFFFF"/>
        </w:rPr>
        <w:t>rszágos felmérések a diszkrimináció és rasszizmus megtapasztalásával és érzékelésével kapcsolatban, a potenciális áldozatok szemszögéb</w:t>
      </w:r>
      <w:r w:rsidR="00ED33AD">
        <w:rPr>
          <w:color w:val="444444"/>
          <w:sz w:val="20"/>
          <w:szCs w:val="20"/>
          <w:shd w:val="clear" w:color="auto" w:fill="FFFFFF"/>
        </w:rPr>
        <w:t>ő</w:t>
      </w:r>
      <w:r w:rsidR="00ED33AD" w:rsidRPr="00ED33AD">
        <w:rPr>
          <w:color w:val="444444"/>
          <w:sz w:val="20"/>
          <w:szCs w:val="20"/>
          <w:shd w:val="clear" w:color="auto" w:fill="FFFFFF"/>
        </w:rPr>
        <w:t>l</w:t>
      </w:r>
      <w:r w:rsidR="00CA3598" w:rsidRPr="00653AE5">
        <w:rPr>
          <w:rFonts w:eastAsia="Times New Roman" w:cs="Times New Roman"/>
          <w:color w:val="444444"/>
          <w:sz w:val="20"/>
          <w:szCs w:val="20"/>
        </w:rPr>
        <w:br/>
      </w:r>
      <w:r w:rsidR="00CA3598" w:rsidRPr="00653AE5">
        <w:rPr>
          <w:rFonts w:eastAsia="Times New Roman" w:cs="Times New Roman"/>
          <w:noProof/>
          <w:sz w:val="20"/>
          <w:szCs w:val="20"/>
        </w:rPr>
        <w:drawing>
          <wp:inline distT="0" distB="0" distL="0" distR="0">
            <wp:extent cx="130810" cy="130810"/>
            <wp:effectExtent l="0" t="0" r="0" b="0"/>
            <wp:docPr id="23" name="Picture 5"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CA3598" w:rsidRPr="00653AE5">
        <w:rPr>
          <w:rFonts w:eastAsia="Times New Roman" w:cs="Times New Roman"/>
          <w:color w:val="444444"/>
          <w:shd w:val="clear" w:color="auto" w:fill="FFFFFF"/>
        </w:rPr>
        <w:t> </w:t>
      </w:r>
      <w:hyperlink r:id="rId38" w:history="1">
        <w:r w:rsidR="00AA0B48">
          <w:rPr>
            <w:rFonts w:eastAsia="Times New Roman" w:cs="Times New Roman"/>
            <w:color w:val="0066CC"/>
            <w:sz w:val="20"/>
            <w:szCs w:val="20"/>
            <w:u w:val="single"/>
            <w:shd w:val="clear" w:color="auto" w:fill="FFFFFF"/>
          </w:rPr>
          <w:t>Az E</w:t>
        </w:r>
        <w:r w:rsidR="00CA3598" w:rsidRPr="00653AE5">
          <w:rPr>
            <w:rFonts w:eastAsia="Times New Roman" w:cs="Times New Roman"/>
            <w:color w:val="0066CC"/>
            <w:sz w:val="20"/>
            <w:szCs w:val="20"/>
            <w:u w:val="single"/>
            <w:shd w:val="clear" w:color="auto" w:fill="FFFFFF"/>
          </w:rPr>
          <w:t xml:space="preserve">CRI </w:t>
        </w:r>
        <w:r w:rsidR="00ED33AD">
          <w:rPr>
            <w:rFonts w:eastAsia="Times New Roman" w:cs="Times New Roman"/>
            <w:color w:val="0066CC"/>
            <w:sz w:val="20"/>
            <w:szCs w:val="20"/>
            <w:u w:val="single"/>
            <w:shd w:val="clear" w:color="auto" w:fill="FFFFFF"/>
          </w:rPr>
          <w:t>5. sz. Általános Ajánlás</w:t>
        </w:r>
        <w:r w:rsidR="00AA0B48">
          <w:rPr>
            <w:rFonts w:eastAsia="Times New Roman" w:cs="Times New Roman"/>
            <w:color w:val="0066CC"/>
            <w:sz w:val="20"/>
            <w:szCs w:val="20"/>
            <w:u w:val="single"/>
            <w:shd w:val="clear" w:color="auto" w:fill="FFFFFF"/>
          </w:rPr>
          <w:t>a</w:t>
        </w:r>
        <w:r w:rsidR="00CA3598" w:rsidRPr="00653AE5">
          <w:rPr>
            <w:rFonts w:eastAsia="Times New Roman" w:cs="Times New Roman"/>
            <w:color w:val="0066CC"/>
            <w:sz w:val="20"/>
            <w:szCs w:val="20"/>
            <w:u w:val="single"/>
            <w:shd w:val="clear" w:color="auto" w:fill="FFFFFF"/>
          </w:rPr>
          <w:t>:</w:t>
        </w:r>
      </w:hyperlink>
      <w:r w:rsidR="00ED33AD">
        <w:rPr>
          <w:rFonts w:eastAsia="Times New Roman" w:cs="Times New Roman"/>
          <w:color w:val="444444"/>
          <w:sz w:val="20"/>
          <w:szCs w:val="20"/>
          <w:shd w:val="clear" w:color="auto" w:fill="FFFFFF"/>
        </w:rPr>
        <w:t>A muszlimokkal szembeni intolerancia és diszkrimináció elleni</w:t>
      </w:r>
      <w:proofErr w:type="gramEnd"/>
      <w:r w:rsidR="00ED33AD">
        <w:rPr>
          <w:rFonts w:eastAsia="Times New Roman" w:cs="Times New Roman"/>
          <w:color w:val="444444"/>
          <w:sz w:val="20"/>
          <w:szCs w:val="20"/>
          <w:shd w:val="clear" w:color="auto" w:fill="FFFFFF"/>
        </w:rPr>
        <w:t xml:space="preserve"> </w:t>
      </w:r>
      <w:proofErr w:type="gramStart"/>
      <w:r w:rsidR="00ED33AD">
        <w:rPr>
          <w:rFonts w:eastAsia="Times New Roman" w:cs="Times New Roman"/>
          <w:color w:val="444444"/>
          <w:sz w:val="20"/>
          <w:szCs w:val="20"/>
          <w:shd w:val="clear" w:color="auto" w:fill="FFFFFF"/>
        </w:rPr>
        <w:t>küzdelemről</w:t>
      </w:r>
      <w:r w:rsidR="00CA3598" w:rsidRPr="00653AE5">
        <w:rPr>
          <w:rFonts w:eastAsia="Times New Roman" w:cs="Times New Roman"/>
          <w:color w:val="444444"/>
          <w:shd w:val="clear" w:color="auto" w:fill="FFFFFF"/>
        </w:rPr>
        <w:t> </w:t>
      </w:r>
      <w:r w:rsidR="00CA3598" w:rsidRPr="00653AE5">
        <w:rPr>
          <w:rFonts w:eastAsia="Times New Roman" w:cs="Times New Roman"/>
          <w:color w:val="444444"/>
          <w:sz w:val="20"/>
          <w:szCs w:val="20"/>
        </w:rPr>
        <w:br/>
      </w:r>
      <w:r w:rsidR="00CA3598" w:rsidRPr="00653AE5">
        <w:rPr>
          <w:rFonts w:eastAsia="Times New Roman" w:cs="Times New Roman"/>
          <w:noProof/>
          <w:sz w:val="20"/>
          <w:szCs w:val="20"/>
        </w:rPr>
        <w:drawing>
          <wp:inline distT="0" distB="0" distL="0" distR="0">
            <wp:extent cx="130810" cy="130810"/>
            <wp:effectExtent l="0" t="0" r="0" b="0"/>
            <wp:docPr id="24" name="Picture 6"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CA3598" w:rsidRPr="00653AE5">
        <w:rPr>
          <w:rFonts w:eastAsia="Times New Roman" w:cs="Times New Roman"/>
          <w:color w:val="444444"/>
          <w:shd w:val="clear" w:color="auto" w:fill="FFFFFF"/>
        </w:rPr>
        <w:t> </w:t>
      </w:r>
      <w:hyperlink r:id="rId39" w:history="1">
        <w:r w:rsidR="00AA0B48">
          <w:rPr>
            <w:rFonts w:eastAsia="Times New Roman" w:cs="Times New Roman"/>
            <w:color w:val="0066CC"/>
            <w:sz w:val="20"/>
            <w:szCs w:val="20"/>
            <w:u w:val="single"/>
            <w:shd w:val="clear" w:color="auto" w:fill="FFFFFF"/>
          </w:rPr>
          <w:t>Az E</w:t>
        </w:r>
        <w:r w:rsidR="00CA3598" w:rsidRPr="00653AE5">
          <w:rPr>
            <w:rFonts w:eastAsia="Times New Roman" w:cs="Times New Roman"/>
            <w:color w:val="0066CC"/>
            <w:sz w:val="20"/>
            <w:szCs w:val="20"/>
            <w:u w:val="single"/>
            <w:shd w:val="clear" w:color="auto" w:fill="FFFFFF"/>
          </w:rPr>
          <w:t xml:space="preserve">CRI </w:t>
        </w:r>
        <w:r w:rsidR="00ED33AD">
          <w:rPr>
            <w:rFonts w:eastAsia="Times New Roman" w:cs="Times New Roman"/>
            <w:color w:val="0066CC"/>
            <w:sz w:val="20"/>
            <w:szCs w:val="20"/>
            <w:u w:val="single"/>
            <w:shd w:val="clear" w:color="auto" w:fill="FFFFFF"/>
          </w:rPr>
          <w:t xml:space="preserve">6. sz. </w:t>
        </w:r>
        <w:r w:rsidR="00ED33AD" w:rsidRPr="00ED33AD">
          <w:rPr>
            <w:rFonts w:eastAsia="Times New Roman" w:cs="Times New Roman"/>
            <w:color w:val="0066CC"/>
            <w:sz w:val="20"/>
            <w:szCs w:val="20"/>
            <w:u w:val="single"/>
            <w:shd w:val="clear" w:color="auto" w:fill="FFFFFF"/>
          </w:rPr>
          <w:t>Általános Ajánlás</w:t>
        </w:r>
        <w:r w:rsidR="00AA0B48">
          <w:rPr>
            <w:rFonts w:eastAsia="Times New Roman" w:cs="Times New Roman"/>
            <w:color w:val="0066CC"/>
            <w:sz w:val="20"/>
            <w:szCs w:val="20"/>
            <w:u w:val="single"/>
            <w:shd w:val="clear" w:color="auto" w:fill="FFFFFF"/>
          </w:rPr>
          <w:t>a</w:t>
        </w:r>
        <w:r w:rsidR="00CA3598" w:rsidRPr="00653AE5">
          <w:rPr>
            <w:rFonts w:eastAsia="Times New Roman" w:cs="Times New Roman"/>
            <w:color w:val="0066CC"/>
            <w:sz w:val="20"/>
            <w:szCs w:val="20"/>
            <w:u w:val="single"/>
            <w:shd w:val="clear" w:color="auto" w:fill="FFFFFF"/>
          </w:rPr>
          <w:t>:</w:t>
        </w:r>
      </w:hyperlink>
      <w:r w:rsidR="00CA3598" w:rsidRPr="00653AE5">
        <w:rPr>
          <w:rFonts w:eastAsia="Times New Roman" w:cs="Times New Roman"/>
          <w:color w:val="444444"/>
          <w:shd w:val="clear" w:color="auto" w:fill="FFFFFF"/>
        </w:rPr>
        <w:t> </w:t>
      </w:r>
      <w:r w:rsidR="00ED33AD">
        <w:rPr>
          <w:rFonts w:eastAsia="Times New Roman" w:cs="Times New Roman"/>
          <w:color w:val="444444"/>
          <w:sz w:val="20"/>
          <w:szCs w:val="20"/>
          <w:shd w:val="clear" w:color="auto" w:fill="FFFFFF"/>
        </w:rPr>
        <w:t>Küzdelem az internet útján terjesztett rasszista, idegengyűlölő és antiszemita anyagok ellen</w:t>
      </w:r>
      <w:r w:rsidR="00CA3598" w:rsidRPr="00653AE5">
        <w:rPr>
          <w:rFonts w:eastAsia="Times New Roman" w:cs="Times New Roman"/>
          <w:color w:val="444444"/>
          <w:sz w:val="20"/>
          <w:szCs w:val="20"/>
        </w:rPr>
        <w:br/>
      </w:r>
      <w:r w:rsidR="00CA3598" w:rsidRPr="00653AE5">
        <w:rPr>
          <w:rFonts w:eastAsia="Times New Roman" w:cs="Times New Roman"/>
          <w:noProof/>
          <w:sz w:val="20"/>
          <w:szCs w:val="20"/>
        </w:rPr>
        <w:drawing>
          <wp:inline distT="0" distB="0" distL="0" distR="0">
            <wp:extent cx="130810" cy="130810"/>
            <wp:effectExtent l="0" t="0" r="0" b="0"/>
            <wp:docPr id="25" name="Picture 7"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CA3598" w:rsidRPr="00653AE5">
        <w:rPr>
          <w:rFonts w:eastAsia="Times New Roman" w:cs="Times New Roman"/>
          <w:color w:val="444444"/>
          <w:shd w:val="clear" w:color="auto" w:fill="FFFFFF"/>
        </w:rPr>
        <w:t> </w:t>
      </w:r>
      <w:hyperlink r:id="rId40" w:history="1">
        <w:r w:rsidR="00AA0B48">
          <w:rPr>
            <w:rFonts w:eastAsia="Times New Roman" w:cs="Times New Roman"/>
            <w:color w:val="0066CC"/>
            <w:sz w:val="20"/>
            <w:szCs w:val="20"/>
            <w:u w:val="single"/>
            <w:shd w:val="clear" w:color="auto" w:fill="FFFFFF"/>
          </w:rPr>
          <w:t>Az E</w:t>
        </w:r>
        <w:r w:rsidR="00CA3598" w:rsidRPr="00653AE5">
          <w:rPr>
            <w:rFonts w:eastAsia="Times New Roman" w:cs="Times New Roman"/>
            <w:color w:val="0066CC"/>
            <w:sz w:val="20"/>
            <w:szCs w:val="20"/>
            <w:u w:val="single"/>
            <w:shd w:val="clear" w:color="auto" w:fill="FFFFFF"/>
          </w:rPr>
          <w:t xml:space="preserve">CRI </w:t>
        </w:r>
        <w:r w:rsidR="00AA0B48">
          <w:rPr>
            <w:rFonts w:eastAsia="Times New Roman" w:cs="Times New Roman"/>
            <w:color w:val="0066CC"/>
            <w:sz w:val="20"/>
            <w:szCs w:val="20"/>
            <w:u w:val="single"/>
            <w:shd w:val="clear" w:color="auto" w:fill="FFFFFF"/>
          </w:rPr>
          <w:t>7</w:t>
        </w:r>
        <w:r w:rsidR="00AA0B48" w:rsidRPr="00AA0B48">
          <w:rPr>
            <w:rFonts w:eastAsia="Times New Roman" w:cs="Times New Roman"/>
            <w:color w:val="0066CC"/>
            <w:sz w:val="20"/>
            <w:szCs w:val="20"/>
            <w:u w:val="single"/>
            <w:shd w:val="clear" w:color="auto" w:fill="FFFFFF"/>
          </w:rPr>
          <w:t>. sz. Általános Ajánlás</w:t>
        </w:r>
        <w:r w:rsidR="00AA0B48">
          <w:rPr>
            <w:rFonts w:eastAsia="Times New Roman" w:cs="Times New Roman"/>
            <w:color w:val="0066CC"/>
            <w:sz w:val="20"/>
            <w:szCs w:val="20"/>
            <w:u w:val="single"/>
            <w:shd w:val="clear" w:color="auto" w:fill="FFFFFF"/>
          </w:rPr>
          <w:t>a</w:t>
        </w:r>
        <w:r w:rsidR="00CA3598" w:rsidRPr="00653AE5">
          <w:rPr>
            <w:rFonts w:eastAsia="Times New Roman" w:cs="Times New Roman"/>
            <w:color w:val="0066CC"/>
            <w:sz w:val="20"/>
            <w:szCs w:val="20"/>
            <w:u w:val="single"/>
            <w:shd w:val="clear" w:color="auto" w:fill="FFFFFF"/>
          </w:rPr>
          <w:t>:</w:t>
        </w:r>
      </w:hyperlink>
      <w:r w:rsidR="00CA3598" w:rsidRPr="00653AE5">
        <w:rPr>
          <w:rFonts w:eastAsia="Times New Roman" w:cs="Times New Roman"/>
          <w:color w:val="444444"/>
          <w:shd w:val="clear" w:color="auto" w:fill="FFFFFF"/>
        </w:rPr>
        <w:t> </w:t>
      </w:r>
      <w:r w:rsidR="00ED33AD" w:rsidRPr="00AA0B48">
        <w:rPr>
          <w:rFonts w:eastAsia="Times New Roman" w:cs="Times New Roman"/>
          <w:color w:val="444444"/>
          <w:sz w:val="20"/>
          <w:szCs w:val="20"/>
          <w:shd w:val="clear" w:color="auto" w:fill="FFFFFF"/>
        </w:rPr>
        <w:t>A rasszizmu</w:t>
      </w:r>
      <w:r w:rsidR="00AA0B48">
        <w:rPr>
          <w:rFonts w:eastAsia="Times New Roman" w:cs="Times New Roman"/>
          <w:color w:val="444444"/>
          <w:sz w:val="20"/>
          <w:szCs w:val="20"/>
          <w:shd w:val="clear" w:color="auto" w:fill="FFFFFF"/>
        </w:rPr>
        <w:t>s</w:t>
      </w:r>
      <w:r w:rsidR="00ED33AD" w:rsidRPr="00AA0B48">
        <w:rPr>
          <w:rFonts w:eastAsia="Times New Roman" w:cs="Times New Roman"/>
          <w:color w:val="444444"/>
          <w:sz w:val="20"/>
          <w:szCs w:val="20"/>
          <w:shd w:val="clear" w:color="auto" w:fill="FFFFFF"/>
        </w:rPr>
        <w:t xml:space="preserve"> és a faji megkülönböztetés elleni küzdelem a </w:t>
      </w:r>
      <w:r w:rsidR="00AA0B48" w:rsidRPr="00AA0B48">
        <w:rPr>
          <w:rFonts w:eastAsia="Times New Roman" w:cs="Times New Roman"/>
          <w:color w:val="444444"/>
          <w:sz w:val="20"/>
          <w:szCs w:val="20"/>
          <w:shd w:val="clear" w:color="auto" w:fill="FFFFFF"/>
        </w:rPr>
        <w:t>nemzeti jogalkotásban</w:t>
      </w:r>
      <w:r w:rsidR="00CA3598" w:rsidRPr="00653AE5">
        <w:rPr>
          <w:rFonts w:eastAsia="Times New Roman" w:cs="Times New Roman"/>
          <w:color w:val="444444"/>
          <w:shd w:val="clear" w:color="auto" w:fill="FFFFFF"/>
        </w:rPr>
        <w:t> </w:t>
      </w:r>
      <w:r w:rsidR="00CA3598" w:rsidRPr="00653AE5">
        <w:rPr>
          <w:rFonts w:eastAsia="Times New Roman" w:cs="Times New Roman"/>
          <w:color w:val="444444"/>
          <w:sz w:val="20"/>
          <w:szCs w:val="20"/>
        </w:rPr>
        <w:br/>
      </w:r>
      <w:r w:rsidR="00CA3598" w:rsidRPr="00653AE5">
        <w:rPr>
          <w:rFonts w:eastAsia="Times New Roman" w:cs="Times New Roman"/>
          <w:noProof/>
          <w:sz w:val="20"/>
          <w:szCs w:val="20"/>
        </w:rPr>
        <w:drawing>
          <wp:inline distT="0" distB="0" distL="0" distR="0">
            <wp:extent cx="130810" cy="130810"/>
            <wp:effectExtent l="0" t="0" r="0" b="0"/>
            <wp:docPr id="26" name="Picture 8"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CA3598" w:rsidRPr="00653AE5">
        <w:rPr>
          <w:rFonts w:eastAsia="Times New Roman" w:cs="Times New Roman"/>
          <w:color w:val="444444"/>
          <w:shd w:val="clear" w:color="auto" w:fill="FFFFFF"/>
        </w:rPr>
        <w:t> </w:t>
      </w:r>
      <w:hyperlink r:id="rId41" w:history="1">
        <w:r w:rsidR="00AA0B48">
          <w:rPr>
            <w:rFonts w:eastAsia="Times New Roman" w:cs="Times New Roman"/>
            <w:color w:val="0066CC"/>
            <w:sz w:val="20"/>
            <w:szCs w:val="20"/>
            <w:u w:val="single"/>
            <w:shd w:val="clear" w:color="auto" w:fill="FFFFFF"/>
          </w:rPr>
          <w:t>Az E</w:t>
        </w:r>
        <w:r w:rsidR="00CA3598" w:rsidRPr="00653AE5">
          <w:rPr>
            <w:rFonts w:eastAsia="Times New Roman" w:cs="Times New Roman"/>
            <w:color w:val="0066CC"/>
            <w:sz w:val="20"/>
            <w:szCs w:val="20"/>
            <w:u w:val="single"/>
            <w:shd w:val="clear" w:color="auto" w:fill="FFFFFF"/>
          </w:rPr>
          <w:t xml:space="preserve">CRI </w:t>
        </w:r>
        <w:r w:rsidR="00AA0B48">
          <w:rPr>
            <w:rFonts w:eastAsia="Times New Roman" w:cs="Times New Roman"/>
            <w:color w:val="0066CC"/>
            <w:sz w:val="20"/>
            <w:szCs w:val="20"/>
            <w:u w:val="single"/>
            <w:shd w:val="clear" w:color="auto" w:fill="FFFFFF"/>
          </w:rPr>
          <w:t>8</w:t>
        </w:r>
        <w:r w:rsidR="00AA0B48" w:rsidRPr="00AA0B48">
          <w:rPr>
            <w:rFonts w:eastAsia="Times New Roman" w:cs="Times New Roman"/>
            <w:color w:val="0066CC"/>
            <w:sz w:val="20"/>
            <w:szCs w:val="20"/>
            <w:u w:val="single"/>
            <w:shd w:val="clear" w:color="auto" w:fill="FFFFFF"/>
          </w:rPr>
          <w:t>.</w:t>
        </w:r>
        <w:proofErr w:type="gramEnd"/>
        <w:r w:rsidR="00AA0B48" w:rsidRPr="00AA0B48">
          <w:rPr>
            <w:rFonts w:eastAsia="Times New Roman" w:cs="Times New Roman"/>
            <w:color w:val="0066CC"/>
            <w:sz w:val="20"/>
            <w:szCs w:val="20"/>
            <w:u w:val="single"/>
            <w:shd w:val="clear" w:color="auto" w:fill="FFFFFF"/>
          </w:rPr>
          <w:t xml:space="preserve"> </w:t>
        </w:r>
        <w:proofErr w:type="gramStart"/>
        <w:r w:rsidR="00AA0B48" w:rsidRPr="00AA0B48">
          <w:rPr>
            <w:rFonts w:eastAsia="Times New Roman" w:cs="Times New Roman"/>
            <w:color w:val="0066CC"/>
            <w:sz w:val="20"/>
            <w:szCs w:val="20"/>
            <w:u w:val="single"/>
            <w:shd w:val="clear" w:color="auto" w:fill="FFFFFF"/>
          </w:rPr>
          <w:t>sz. Általános Ajánlás</w:t>
        </w:r>
        <w:r w:rsidR="00AA0B48">
          <w:rPr>
            <w:rFonts w:eastAsia="Times New Roman" w:cs="Times New Roman"/>
            <w:color w:val="0066CC"/>
            <w:sz w:val="20"/>
            <w:szCs w:val="20"/>
            <w:u w:val="single"/>
            <w:shd w:val="clear" w:color="auto" w:fill="FFFFFF"/>
          </w:rPr>
          <w:t>a</w:t>
        </w:r>
        <w:r w:rsidR="00CA3598" w:rsidRPr="00653AE5">
          <w:rPr>
            <w:rFonts w:eastAsia="Times New Roman" w:cs="Times New Roman"/>
            <w:color w:val="0066CC"/>
            <w:sz w:val="20"/>
            <w:szCs w:val="20"/>
            <w:u w:val="single"/>
            <w:shd w:val="clear" w:color="auto" w:fill="FFFFFF"/>
          </w:rPr>
          <w:t>:</w:t>
        </w:r>
      </w:hyperlink>
      <w:r w:rsidR="00CA3598" w:rsidRPr="00653AE5">
        <w:rPr>
          <w:rFonts w:eastAsia="Times New Roman" w:cs="Times New Roman"/>
          <w:color w:val="444444"/>
          <w:shd w:val="clear" w:color="auto" w:fill="FFFFFF"/>
        </w:rPr>
        <w:t> </w:t>
      </w:r>
      <w:r w:rsidR="00AA0B48">
        <w:rPr>
          <w:rFonts w:eastAsia="Times New Roman" w:cs="Times New Roman"/>
          <w:color w:val="444444"/>
          <w:sz w:val="20"/>
          <w:szCs w:val="20"/>
          <w:shd w:val="clear" w:color="auto" w:fill="FFFFFF"/>
        </w:rPr>
        <w:t>Küzdelem a rasszizmus ellen a terrorizmussal szembeni elleni harc körülményei között</w:t>
      </w:r>
      <w:r w:rsidR="00CA3598" w:rsidRPr="00653AE5">
        <w:rPr>
          <w:rFonts w:eastAsia="Times New Roman" w:cs="Times New Roman"/>
          <w:color w:val="444444"/>
          <w:shd w:val="clear" w:color="auto" w:fill="FFFFFF"/>
        </w:rPr>
        <w:t> </w:t>
      </w:r>
      <w:r w:rsidR="00CA3598" w:rsidRPr="00653AE5">
        <w:rPr>
          <w:rFonts w:eastAsia="Times New Roman" w:cs="Times New Roman"/>
          <w:color w:val="444444"/>
          <w:sz w:val="20"/>
          <w:szCs w:val="20"/>
        </w:rPr>
        <w:br/>
      </w:r>
      <w:r w:rsidR="00CA3598" w:rsidRPr="00653AE5">
        <w:rPr>
          <w:rFonts w:eastAsia="Times New Roman" w:cs="Times New Roman"/>
          <w:noProof/>
          <w:sz w:val="20"/>
          <w:szCs w:val="20"/>
        </w:rPr>
        <w:drawing>
          <wp:inline distT="0" distB="0" distL="0" distR="0">
            <wp:extent cx="130810" cy="130810"/>
            <wp:effectExtent l="0" t="0" r="0" b="0"/>
            <wp:docPr id="27" name="Picture 9"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hyperlink r:id="rId42" w:history="1">
        <w:r w:rsidR="00CA3598" w:rsidRPr="00653AE5">
          <w:rPr>
            <w:rFonts w:eastAsia="Times New Roman" w:cs="Times New Roman"/>
            <w:color w:val="0066CC"/>
            <w:shd w:val="clear" w:color="auto" w:fill="FFFFFF"/>
          </w:rPr>
          <w:t> </w:t>
        </w:r>
        <w:r w:rsidR="00AA0B48">
          <w:rPr>
            <w:rFonts w:eastAsia="Times New Roman" w:cs="Times New Roman"/>
            <w:color w:val="0066CC"/>
            <w:sz w:val="20"/>
            <w:szCs w:val="20"/>
            <w:u w:val="single"/>
            <w:shd w:val="clear" w:color="auto" w:fill="FFFFFF"/>
          </w:rPr>
          <w:t>Az E</w:t>
        </w:r>
        <w:r w:rsidR="00CA3598" w:rsidRPr="00653AE5">
          <w:rPr>
            <w:rFonts w:eastAsia="Times New Roman" w:cs="Times New Roman"/>
            <w:color w:val="0066CC"/>
            <w:sz w:val="20"/>
            <w:szCs w:val="20"/>
            <w:u w:val="single"/>
            <w:shd w:val="clear" w:color="auto" w:fill="FFFFFF"/>
          </w:rPr>
          <w:t xml:space="preserve">CRI </w:t>
        </w:r>
        <w:r w:rsidR="00AA0B48">
          <w:rPr>
            <w:rFonts w:eastAsia="Times New Roman" w:cs="Times New Roman"/>
            <w:color w:val="0066CC"/>
            <w:sz w:val="20"/>
            <w:szCs w:val="20"/>
            <w:u w:val="single"/>
            <w:shd w:val="clear" w:color="auto" w:fill="FFFFFF"/>
          </w:rPr>
          <w:t>9</w:t>
        </w:r>
        <w:r w:rsidR="00AA0B48" w:rsidRPr="00AA0B48">
          <w:rPr>
            <w:rFonts w:eastAsia="Times New Roman" w:cs="Times New Roman"/>
            <w:color w:val="0066CC"/>
            <w:sz w:val="20"/>
            <w:szCs w:val="20"/>
            <w:u w:val="single"/>
            <w:shd w:val="clear" w:color="auto" w:fill="FFFFFF"/>
          </w:rPr>
          <w:t>. sz. Általános Ajánlás</w:t>
        </w:r>
        <w:r w:rsidR="00AA0B48">
          <w:rPr>
            <w:rFonts w:eastAsia="Times New Roman" w:cs="Times New Roman"/>
            <w:color w:val="0066CC"/>
            <w:sz w:val="20"/>
            <w:szCs w:val="20"/>
            <w:u w:val="single"/>
            <w:shd w:val="clear" w:color="auto" w:fill="FFFFFF"/>
          </w:rPr>
          <w:t>a</w:t>
        </w:r>
        <w:r w:rsidR="00CA3598" w:rsidRPr="00653AE5">
          <w:rPr>
            <w:rFonts w:eastAsia="Times New Roman" w:cs="Times New Roman"/>
            <w:color w:val="0066CC"/>
            <w:sz w:val="20"/>
            <w:szCs w:val="20"/>
            <w:u w:val="single"/>
            <w:shd w:val="clear" w:color="auto" w:fill="FFFFFF"/>
          </w:rPr>
          <w:t>:</w:t>
        </w:r>
        <w:r w:rsidR="00CA3598" w:rsidRPr="00653AE5">
          <w:rPr>
            <w:rFonts w:eastAsia="Times New Roman" w:cs="Times New Roman"/>
            <w:color w:val="0066CC"/>
            <w:shd w:val="clear" w:color="auto" w:fill="FFFFFF"/>
          </w:rPr>
          <w:t> </w:t>
        </w:r>
      </w:hyperlink>
      <w:r w:rsidR="00AA0B48">
        <w:rPr>
          <w:rFonts w:eastAsia="Times New Roman" w:cs="Times New Roman"/>
          <w:color w:val="444444"/>
          <w:sz w:val="20"/>
          <w:szCs w:val="20"/>
          <w:shd w:val="clear" w:color="auto" w:fill="FFFFFF"/>
        </w:rPr>
        <w:t>Az antiszemitizmus elleni küzdelemről</w:t>
      </w:r>
      <w:r w:rsidR="00CA3598" w:rsidRPr="00653AE5">
        <w:rPr>
          <w:rFonts w:eastAsia="Times New Roman" w:cs="Times New Roman"/>
          <w:color w:val="444444"/>
          <w:sz w:val="20"/>
          <w:szCs w:val="20"/>
        </w:rPr>
        <w:br/>
      </w:r>
      <w:r w:rsidR="00CA3598" w:rsidRPr="00653AE5">
        <w:rPr>
          <w:rFonts w:eastAsia="Times New Roman" w:cs="Times New Roman"/>
          <w:noProof/>
          <w:sz w:val="20"/>
          <w:szCs w:val="20"/>
        </w:rPr>
        <w:drawing>
          <wp:inline distT="0" distB="0" distL="0" distR="0">
            <wp:extent cx="130810" cy="130810"/>
            <wp:effectExtent l="0" t="0" r="0" b="0"/>
            <wp:docPr id="28" name="Picture 10"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hyperlink r:id="rId43" w:history="1">
        <w:r w:rsidR="00CA3598" w:rsidRPr="00653AE5">
          <w:rPr>
            <w:rFonts w:eastAsia="Times New Roman" w:cs="Times New Roman"/>
            <w:color w:val="0066CC"/>
            <w:shd w:val="clear" w:color="auto" w:fill="FFFFFF"/>
          </w:rPr>
          <w:t> </w:t>
        </w:r>
        <w:r w:rsidR="00AA0B48">
          <w:rPr>
            <w:rFonts w:eastAsia="Times New Roman" w:cs="Times New Roman"/>
            <w:color w:val="0066CC"/>
            <w:sz w:val="20"/>
            <w:szCs w:val="20"/>
            <w:u w:val="single"/>
            <w:shd w:val="clear" w:color="auto" w:fill="FFFFFF"/>
          </w:rPr>
          <w:t>Az E</w:t>
        </w:r>
        <w:r w:rsidR="00CA3598" w:rsidRPr="00653AE5">
          <w:rPr>
            <w:rFonts w:eastAsia="Times New Roman" w:cs="Times New Roman"/>
            <w:color w:val="0066CC"/>
            <w:sz w:val="20"/>
            <w:szCs w:val="20"/>
            <w:u w:val="single"/>
            <w:shd w:val="clear" w:color="auto" w:fill="FFFFFF"/>
          </w:rPr>
          <w:t xml:space="preserve">CRI </w:t>
        </w:r>
        <w:r w:rsidR="00AA0B48">
          <w:rPr>
            <w:rFonts w:eastAsia="Times New Roman" w:cs="Times New Roman"/>
            <w:color w:val="0066CC"/>
            <w:sz w:val="20"/>
            <w:szCs w:val="20"/>
            <w:u w:val="single"/>
            <w:shd w:val="clear" w:color="auto" w:fill="FFFFFF"/>
          </w:rPr>
          <w:t>10</w:t>
        </w:r>
        <w:r w:rsidR="00AA0B48" w:rsidRPr="00AA0B48">
          <w:rPr>
            <w:rFonts w:eastAsia="Times New Roman" w:cs="Times New Roman"/>
            <w:color w:val="0066CC"/>
            <w:sz w:val="20"/>
            <w:szCs w:val="20"/>
            <w:u w:val="single"/>
            <w:shd w:val="clear" w:color="auto" w:fill="FFFFFF"/>
          </w:rPr>
          <w:t>. sz. Általános Ajánlás</w:t>
        </w:r>
        <w:r w:rsidR="00AA0B48">
          <w:rPr>
            <w:rFonts w:eastAsia="Times New Roman" w:cs="Times New Roman"/>
            <w:color w:val="0066CC"/>
            <w:sz w:val="20"/>
            <w:szCs w:val="20"/>
            <w:u w:val="single"/>
            <w:shd w:val="clear" w:color="auto" w:fill="FFFFFF"/>
          </w:rPr>
          <w:t>a</w:t>
        </w:r>
        <w:r w:rsidR="00CA3598" w:rsidRPr="00653AE5">
          <w:rPr>
            <w:rFonts w:eastAsia="Times New Roman" w:cs="Times New Roman"/>
            <w:color w:val="0066CC"/>
            <w:sz w:val="20"/>
            <w:szCs w:val="20"/>
            <w:u w:val="single"/>
            <w:shd w:val="clear" w:color="auto" w:fill="FFFFFF"/>
          </w:rPr>
          <w:t>:</w:t>
        </w:r>
        <w:r w:rsidR="00CA3598" w:rsidRPr="00653AE5">
          <w:rPr>
            <w:rFonts w:eastAsia="Times New Roman" w:cs="Times New Roman"/>
            <w:color w:val="0066CC"/>
            <w:shd w:val="clear" w:color="auto" w:fill="FFFFFF"/>
          </w:rPr>
          <w:t> </w:t>
        </w:r>
      </w:hyperlink>
      <w:r w:rsidR="00AA0B48">
        <w:rPr>
          <w:rFonts w:eastAsia="Times New Roman" w:cs="Times New Roman"/>
          <w:color w:val="444444"/>
          <w:sz w:val="20"/>
          <w:szCs w:val="20"/>
          <w:shd w:val="clear" w:color="auto" w:fill="FFFFFF"/>
        </w:rPr>
        <w:t>A rasszizmus és a faji megkülönböztetés elleni küzdelemről az iskolai oktatásban</w:t>
      </w:r>
      <w:proofErr w:type="gramEnd"/>
      <w:r w:rsidR="00CA3598" w:rsidRPr="00653AE5">
        <w:rPr>
          <w:rFonts w:eastAsia="Times New Roman" w:cs="Times New Roman"/>
          <w:color w:val="444444"/>
          <w:sz w:val="20"/>
          <w:szCs w:val="20"/>
        </w:rPr>
        <w:br/>
      </w:r>
      <w:r w:rsidR="00CA3598" w:rsidRPr="00653AE5">
        <w:rPr>
          <w:rFonts w:eastAsia="Times New Roman" w:cs="Times New Roman"/>
          <w:noProof/>
          <w:sz w:val="20"/>
          <w:szCs w:val="20"/>
        </w:rPr>
        <w:drawing>
          <wp:inline distT="0" distB="0" distL="0" distR="0">
            <wp:extent cx="130810" cy="130810"/>
            <wp:effectExtent l="0" t="0" r="0" b="0"/>
            <wp:docPr id="29" name="Picture 11"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hyperlink r:id="rId44" w:history="1">
        <w:r w:rsidR="00CA3598" w:rsidRPr="00653AE5">
          <w:rPr>
            <w:rFonts w:eastAsia="Times New Roman" w:cs="Times New Roman"/>
            <w:color w:val="0066CC"/>
            <w:shd w:val="clear" w:color="auto" w:fill="FFFFFF"/>
          </w:rPr>
          <w:t> </w:t>
        </w:r>
        <w:proofErr w:type="gramStart"/>
        <w:r w:rsidR="00AA0B48" w:rsidRPr="00AA0B48">
          <w:rPr>
            <w:rFonts w:eastAsia="Times New Roman" w:cs="Times New Roman"/>
            <w:color w:val="0066CC"/>
            <w:sz w:val="20"/>
            <w:szCs w:val="20"/>
            <w:u w:val="single"/>
            <w:shd w:val="clear" w:color="auto" w:fill="FFFFFF"/>
          </w:rPr>
          <w:t>Az ECRI 1</w:t>
        </w:r>
        <w:r w:rsidR="00AA0B48">
          <w:rPr>
            <w:rFonts w:eastAsia="Times New Roman" w:cs="Times New Roman"/>
            <w:color w:val="0066CC"/>
            <w:sz w:val="20"/>
            <w:szCs w:val="20"/>
            <w:u w:val="single"/>
            <w:shd w:val="clear" w:color="auto" w:fill="FFFFFF"/>
          </w:rPr>
          <w:t>1</w:t>
        </w:r>
        <w:r w:rsidR="00AA0B48" w:rsidRPr="00AA0B48">
          <w:rPr>
            <w:rFonts w:eastAsia="Times New Roman" w:cs="Times New Roman"/>
            <w:color w:val="0066CC"/>
            <w:sz w:val="20"/>
            <w:szCs w:val="20"/>
            <w:u w:val="single"/>
            <w:shd w:val="clear" w:color="auto" w:fill="FFFFFF"/>
          </w:rPr>
          <w:t>. sz. Általános Ajánlása</w:t>
        </w:r>
        <w:r w:rsidR="00CA3598" w:rsidRPr="00653AE5">
          <w:rPr>
            <w:rFonts w:eastAsia="Times New Roman" w:cs="Times New Roman"/>
            <w:color w:val="0066CC"/>
            <w:sz w:val="20"/>
            <w:szCs w:val="20"/>
            <w:u w:val="single"/>
            <w:shd w:val="clear" w:color="auto" w:fill="FFFFFF"/>
          </w:rPr>
          <w:t>:</w:t>
        </w:r>
      </w:hyperlink>
      <w:r w:rsidR="00CA3598" w:rsidRPr="00653AE5">
        <w:rPr>
          <w:rFonts w:eastAsia="Times New Roman" w:cs="Times New Roman"/>
          <w:color w:val="444444"/>
          <w:shd w:val="clear" w:color="auto" w:fill="FFFFFF"/>
        </w:rPr>
        <w:t> </w:t>
      </w:r>
      <w:r w:rsidR="00AA0B48">
        <w:rPr>
          <w:rFonts w:eastAsia="Times New Roman" w:cs="Times New Roman"/>
          <w:color w:val="444444"/>
          <w:sz w:val="20"/>
          <w:szCs w:val="20"/>
          <w:shd w:val="clear" w:color="auto" w:fill="FFFFFF"/>
        </w:rPr>
        <w:t>A rasszizmus és a faji megkülönböztetés ellen a rendfenntartás területén folytatott küzdelemről</w:t>
      </w:r>
      <w:r w:rsidR="00CA3598" w:rsidRPr="00653AE5">
        <w:rPr>
          <w:rFonts w:eastAsia="Times New Roman" w:cs="Times New Roman"/>
          <w:color w:val="444444"/>
          <w:shd w:val="clear" w:color="auto" w:fill="FFFFFF"/>
        </w:rPr>
        <w:t> </w:t>
      </w:r>
      <w:r w:rsidR="00CA3598" w:rsidRPr="00653AE5">
        <w:rPr>
          <w:rFonts w:eastAsia="Times New Roman" w:cs="Times New Roman"/>
          <w:color w:val="444444"/>
          <w:sz w:val="20"/>
          <w:szCs w:val="20"/>
        </w:rPr>
        <w:br/>
      </w:r>
      <w:r w:rsidR="00CA3598" w:rsidRPr="00653AE5">
        <w:rPr>
          <w:rFonts w:eastAsia="Times New Roman" w:cs="Times New Roman"/>
          <w:noProof/>
          <w:sz w:val="20"/>
          <w:szCs w:val="20"/>
        </w:rPr>
        <w:drawing>
          <wp:inline distT="0" distB="0" distL="0" distR="0">
            <wp:extent cx="130810" cy="130810"/>
            <wp:effectExtent l="0" t="0" r="0" b="0"/>
            <wp:docPr id="30" name="Picture 12"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CA3598" w:rsidRPr="00653AE5">
        <w:rPr>
          <w:rFonts w:eastAsia="Times New Roman" w:cs="Times New Roman"/>
          <w:color w:val="444444"/>
          <w:shd w:val="clear" w:color="auto" w:fill="FFFFFF"/>
        </w:rPr>
        <w:t> </w:t>
      </w:r>
      <w:hyperlink r:id="rId45" w:history="1">
        <w:r w:rsidR="00CA3598" w:rsidRPr="00653AE5">
          <w:rPr>
            <w:rFonts w:eastAsia="Times New Roman" w:cs="Times New Roman"/>
            <w:color w:val="0066CC"/>
            <w:sz w:val="20"/>
            <w:szCs w:val="20"/>
            <w:u w:val="single"/>
            <w:shd w:val="clear" w:color="auto" w:fill="FFFFFF"/>
          </w:rPr>
          <w:t xml:space="preserve">ECRI General Policy </w:t>
        </w:r>
        <w:proofErr w:type="spellStart"/>
        <w:r w:rsidR="00CA3598" w:rsidRPr="00653AE5">
          <w:rPr>
            <w:rFonts w:eastAsia="Times New Roman" w:cs="Times New Roman"/>
            <w:color w:val="0066CC"/>
            <w:sz w:val="20"/>
            <w:szCs w:val="20"/>
            <w:u w:val="single"/>
            <w:shd w:val="clear" w:color="auto" w:fill="FFFFFF"/>
          </w:rPr>
          <w:t>Recommendation</w:t>
        </w:r>
        <w:proofErr w:type="spellEnd"/>
        <w:r w:rsidR="00CA3598" w:rsidRPr="00653AE5">
          <w:rPr>
            <w:rFonts w:eastAsia="Times New Roman" w:cs="Times New Roman"/>
            <w:color w:val="0066CC"/>
            <w:sz w:val="20"/>
            <w:szCs w:val="20"/>
            <w:u w:val="single"/>
            <w:shd w:val="clear" w:color="auto" w:fill="FFFFFF"/>
          </w:rPr>
          <w:t xml:space="preserve"> No.12</w:t>
        </w:r>
      </w:hyperlink>
      <w:r w:rsidR="00CA3598" w:rsidRPr="00653AE5">
        <w:rPr>
          <w:rFonts w:eastAsia="Times New Roman" w:cs="Times New Roman"/>
          <w:color w:val="444444"/>
          <w:sz w:val="20"/>
          <w:szCs w:val="20"/>
          <w:shd w:val="clear" w:color="auto" w:fill="FFFFFF"/>
        </w:rPr>
        <w:t xml:space="preserve">: </w:t>
      </w:r>
      <w:proofErr w:type="spellStart"/>
      <w:r w:rsidR="00CA3598" w:rsidRPr="00653AE5">
        <w:rPr>
          <w:rFonts w:eastAsia="Times New Roman" w:cs="Times New Roman"/>
          <w:color w:val="444444"/>
          <w:sz w:val="20"/>
          <w:szCs w:val="20"/>
          <w:shd w:val="clear" w:color="auto" w:fill="FFFFFF"/>
        </w:rPr>
        <w:t>Combatingracism</w:t>
      </w:r>
      <w:proofErr w:type="spellEnd"/>
      <w:r w:rsidR="00CA3598" w:rsidRPr="00653AE5">
        <w:rPr>
          <w:rFonts w:eastAsia="Times New Roman" w:cs="Times New Roman"/>
          <w:color w:val="444444"/>
          <w:sz w:val="20"/>
          <w:szCs w:val="20"/>
          <w:shd w:val="clear" w:color="auto" w:fill="FFFFFF"/>
        </w:rPr>
        <w:t xml:space="preserve"> and </w:t>
      </w:r>
      <w:proofErr w:type="spellStart"/>
      <w:r w:rsidR="00CA3598" w:rsidRPr="00653AE5">
        <w:rPr>
          <w:rFonts w:eastAsia="Times New Roman" w:cs="Times New Roman"/>
          <w:color w:val="444444"/>
          <w:sz w:val="20"/>
          <w:szCs w:val="20"/>
          <w:shd w:val="clear" w:color="auto" w:fill="FFFFFF"/>
        </w:rPr>
        <w:t>racialdiscrimination</w:t>
      </w:r>
      <w:proofErr w:type="spellEnd"/>
      <w:r w:rsidR="00CA3598" w:rsidRPr="00653AE5">
        <w:rPr>
          <w:rFonts w:eastAsia="Times New Roman" w:cs="Times New Roman"/>
          <w:color w:val="444444"/>
          <w:sz w:val="20"/>
          <w:szCs w:val="20"/>
          <w:shd w:val="clear" w:color="auto" w:fill="FFFFFF"/>
        </w:rPr>
        <w:t xml:space="preserve"> </w:t>
      </w:r>
      <w:proofErr w:type="spellStart"/>
      <w:r w:rsidR="00CA3598" w:rsidRPr="00653AE5">
        <w:rPr>
          <w:rFonts w:eastAsia="Times New Roman" w:cs="Times New Roman"/>
          <w:color w:val="444444"/>
          <w:sz w:val="20"/>
          <w:szCs w:val="20"/>
          <w:shd w:val="clear" w:color="auto" w:fill="FFFFFF"/>
        </w:rPr>
        <w:t>in</w:t>
      </w:r>
      <w:proofErr w:type="spellEnd"/>
      <w:r w:rsidR="00CA3598" w:rsidRPr="00653AE5">
        <w:rPr>
          <w:rFonts w:eastAsia="Times New Roman" w:cs="Times New Roman"/>
          <w:color w:val="444444"/>
          <w:sz w:val="20"/>
          <w:szCs w:val="20"/>
          <w:shd w:val="clear" w:color="auto" w:fill="FFFFFF"/>
        </w:rPr>
        <w:t xml:space="preserve"> </w:t>
      </w:r>
      <w:proofErr w:type="spellStart"/>
      <w:r w:rsidR="00CA3598" w:rsidRPr="00653AE5">
        <w:rPr>
          <w:rFonts w:eastAsia="Times New Roman" w:cs="Times New Roman"/>
          <w:color w:val="444444"/>
          <w:sz w:val="20"/>
          <w:szCs w:val="20"/>
          <w:shd w:val="clear" w:color="auto" w:fill="FFFFFF"/>
        </w:rPr>
        <w:t>thefield</w:t>
      </w:r>
      <w:proofErr w:type="spellEnd"/>
      <w:r w:rsidR="00CA3598" w:rsidRPr="00653AE5">
        <w:rPr>
          <w:rFonts w:eastAsia="Times New Roman" w:cs="Times New Roman"/>
          <w:color w:val="444444"/>
          <w:sz w:val="20"/>
          <w:szCs w:val="20"/>
          <w:shd w:val="clear" w:color="auto" w:fill="FFFFFF"/>
        </w:rPr>
        <w:t xml:space="preserve"> of sport</w:t>
      </w:r>
      <w:r w:rsidR="00CA3598" w:rsidRPr="00653AE5">
        <w:rPr>
          <w:rFonts w:eastAsia="Times New Roman" w:cs="Times New Roman"/>
          <w:color w:val="444444"/>
          <w:sz w:val="20"/>
          <w:szCs w:val="20"/>
        </w:rPr>
        <w:br/>
      </w:r>
      <w:r w:rsidR="00CA3598" w:rsidRPr="00653AE5">
        <w:rPr>
          <w:rFonts w:eastAsia="Times New Roman" w:cs="Times New Roman"/>
          <w:noProof/>
          <w:sz w:val="20"/>
          <w:szCs w:val="20"/>
        </w:rPr>
        <w:drawing>
          <wp:inline distT="0" distB="0" distL="0" distR="0">
            <wp:extent cx="130810" cy="130810"/>
            <wp:effectExtent l="0" t="0" r="0" b="0"/>
            <wp:docPr id="31" name="Picture 13"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CA3598" w:rsidRPr="00653AE5">
        <w:rPr>
          <w:rFonts w:eastAsia="Times New Roman" w:cs="Times New Roman"/>
          <w:color w:val="444444"/>
          <w:shd w:val="clear" w:color="auto" w:fill="FFFFFF"/>
        </w:rPr>
        <w:t> </w:t>
      </w:r>
      <w:hyperlink r:id="rId46" w:history="1">
        <w:r w:rsidR="00CA3598" w:rsidRPr="00653AE5">
          <w:rPr>
            <w:rFonts w:eastAsia="Times New Roman" w:cs="Times New Roman"/>
            <w:color w:val="0066CC"/>
            <w:sz w:val="20"/>
            <w:szCs w:val="20"/>
            <w:u w:val="single"/>
            <w:shd w:val="clear" w:color="auto" w:fill="FFFFFF"/>
          </w:rPr>
          <w:t xml:space="preserve">ECRI General Policy </w:t>
        </w:r>
        <w:proofErr w:type="spellStart"/>
        <w:r w:rsidR="00CA3598" w:rsidRPr="00653AE5">
          <w:rPr>
            <w:rFonts w:eastAsia="Times New Roman" w:cs="Times New Roman"/>
            <w:color w:val="0066CC"/>
            <w:sz w:val="20"/>
            <w:szCs w:val="20"/>
            <w:u w:val="single"/>
            <w:shd w:val="clear" w:color="auto" w:fill="FFFFFF"/>
          </w:rPr>
          <w:t>Recommendation</w:t>
        </w:r>
        <w:proofErr w:type="spellEnd"/>
        <w:r w:rsidR="00CA3598" w:rsidRPr="00653AE5">
          <w:rPr>
            <w:rFonts w:eastAsia="Times New Roman" w:cs="Times New Roman"/>
            <w:color w:val="0066CC"/>
            <w:sz w:val="20"/>
            <w:szCs w:val="20"/>
            <w:u w:val="single"/>
            <w:shd w:val="clear" w:color="auto" w:fill="FFFFFF"/>
          </w:rPr>
          <w:t xml:space="preserve"> No.13</w:t>
        </w:r>
      </w:hyperlink>
      <w:r w:rsidR="00CA3598" w:rsidRPr="00653AE5">
        <w:rPr>
          <w:rFonts w:eastAsia="Times New Roman" w:cs="Times New Roman"/>
          <w:color w:val="444444"/>
          <w:sz w:val="20"/>
          <w:szCs w:val="20"/>
          <w:shd w:val="clear" w:color="auto" w:fill="FFFFFF"/>
        </w:rPr>
        <w:t xml:space="preserve">: </w:t>
      </w:r>
      <w:proofErr w:type="spellStart"/>
      <w:r w:rsidR="00CA3598" w:rsidRPr="00653AE5">
        <w:rPr>
          <w:rFonts w:eastAsia="Times New Roman" w:cs="Times New Roman"/>
          <w:color w:val="444444"/>
          <w:sz w:val="20"/>
          <w:szCs w:val="20"/>
          <w:shd w:val="clear" w:color="auto" w:fill="FFFFFF"/>
        </w:rPr>
        <w:t>Combatinganti-Gypsyism</w:t>
      </w:r>
      <w:proofErr w:type="spellEnd"/>
      <w:r w:rsidR="00CA3598" w:rsidRPr="00653AE5">
        <w:rPr>
          <w:rFonts w:eastAsia="Times New Roman" w:cs="Times New Roman"/>
          <w:color w:val="444444"/>
          <w:sz w:val="20"/>
          <w:szCs w:val="20"/>
          <w:shd w:val="clear" w:color="auto" w:fill="FFFFFF"/>
        </w:rPr>
        <w:t xml:space="preserve"> and </w:t>
      </w:r>
      <w:proofErr w:type="spellStart"/>
      <w:r w:rsidR="00CA3598" w:rsidRPr="00653AE5">
        <w:rPr>
          <w:rFonts w:eastAsia="Times New Roman" w:cs="Times New Roman"/>
          <w:color w:val="444444"/>
          <w:sz w:val="20"/>
          <w:szCs w:val="20"/>
          <w:shd w:val="clear" w:color="auto" w:fill="FFFFFF"/>
        </w:rPr>
        <w:t>discriminationagainst</w:t>
      </w:r>
      <w:proofErr w:type="spellEnd"/>
      <w:r w:rsidR="00CA3598" w:rsidRPr="00653AE5">
        <w:rPr>
          <w:rFonts w:eastAsia="Times New Roman" w:cs="Times New Roman"/>
          <w:color w:val="444444"/>
          <w:sz w:val="20"/>
          <w:szCs w:val="20"/>
          <w:shd w:val="clear" w:color="auto" w:fill="FFFFFF"/>
        </w:rPr>
        <w:t xml:space="preserve"> Roma</w:t>
      </w:r>
      <w:r w:rsidR="00CA3598" w:rsidRPr="00653AE5">
        <w:rPr>
          <w:rFonts w:eastAsia="Times New Roman" w:cs="Times New Roman"/>
          <w:color w:val="444444"/>
          <w:sz w:val="20"/>
          <w:szCs w:val="20"/>
        </w:rPr>
        <w:br/>
      </w:r>
      <w:r w:rsidR="00CA3598" w:rsidRPr="00653AE5">
        <w:rPr>
          <w:rFonts w:eastAsia="Times New Roman" w:cs="Times New Roman"/>
          <w:noProof/>
          <w:sz w:val="20"/>
          <w:szCs w:val="20"/>
        </w:rPr>
        <w:drawing>
          <wp:inline distT="0" distB="0" distL="0" distR="0">
            <wp:extent cx="130810" cy="130810"/>
            <wp:effectExtent l="0" t="0" r="0" b="0"/>
            <wp:docPr id="32" name="Picture 14"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CA3598" w:rsidRPr="00653AE5">
        <w:rPr>
          <w:rFonts w:eastAsia="Times New Roman" w:cs="Times New Roman"/>
          <w:color w:val="444444"/>
          <w:shd w:val="clear" w:color="auto" w:fill="FFFFFF"/>
        </w:rPr>
        <w:t> </w:t>
      </w:r>
      <w:proofErr w:type="gramEnd"/>
      <w:r w:rsidR="00B40D80">
        <w:fldChar w:fldCharType="begin"/>
      </w:r>
      <w:r w:rsidR="00B40D80">
        <w:instrText xml:space="preserve"> HYPERLINK "http://www.coe.int/t/dghl/monitoring</w:instrText>
      </w:r>
      <w:r w:rsidR="00B40D80">
        <w:instrText xml:space="preserve">/ecri/activities/GPR/EN/Recommendation_N14/default_en.asp" </w:instrText>
      </w:r>
      <w:r w:rsidR="00B40D80">
        <w:fldChar w:fldCharType="separate"/>
      </w:r>
      <w:r w:rsidR="00CA3598" w:rsidRPr="00653AE5">
        <w:rPr>
          <w:rFonts w:eastAsia="Times New Roman" w:cs="Times New Roman"/>
          <w:color w:val="0066CC"/>
          <w:sz w:val="20"/>
          <w:szCs w:val="20"/>
          <w:u w:val="single"/>
          <w:shd w:val="clear" w:color="auto" w:fill="FFFFFF"/>
        </w:rPr>
        <w:t xml:space="preserve">ECRI General Policy </w:t>
      </w:r>
      <w:proofErr w:type="spellStart"/>
      <w:r w:rsidR="00CA3598" w:rsidRPr="00653AE5">
        <w:rPr>
          <w:rFonts w:eastAsia="Times New Roman" w:cs="Times New Roman"/>
          <w:color w:val="0066CC"/>
          <w:sz w:val="20"/>
          <w:szCs w:val="20"/>
          <w:u w:val="single"/>
          <w:shd w:val="clear" w:color="auto" w:fill="FFFFFF"/>
        </w:rPr>
        <w:t>Recommentation</w:t>
      </w:r>
      <w:proofErr w:type="spellEnd"/>
      <w:r w:rsidR="00CA3598" w:rsidRPr="00653AE5">
        <w:rPr>
          <w:rFonts w:eastAsia="Times New Roman" w:cs="Times New Roman"/>
          <w:color w:val="0066CC"/>
          <w:sz w:val="20"/>
          <w:szCs w:val="20"/>
          <w:u w:val="single"/>
          <w:shd w:val="clear" w:color="auto" w:fill="FFFFFF"/>
        </w:rPr>
        <w:t xml:space="preserve"> </w:t>
      </w:r>
      <w:proofErr w:type="gramStart"/>
      <w:r w:rsidR="00CA3598" w:rsidRPr="00653AE5">
        <w:rPr>
          <w:rFonts w:eastAsia="Times New Roman" w:cs="Times New Roman"/>
          <w:color w:val="0066CC"/>
          <w:sz w:val="20"/>
          <w:szCs w:val="20"/>
          <w:u w:val="single"/>
          <w:shd w:val="clear" w:color="auto" w:fill="FFFFFF"/>
        </w:rPr>
        <w:t>No</w:t>
      </w:r>
      <w:proofErr w:type="gramEnd"/>
      <w:r w:rsidR="00CA3598" w:rsidRPr="00653AE5">
        <w:rPr>
          <w:rFonts w:eastAsia="Times New Roman" w:cs="Times New Roman"/>
          <w:color w:val="0066CC"/>
          <w:sz w:val="20"/>
          <w:szCs w:val="20"/>
          <w:u w:val="single"/>
          <w:shd w:val="clear" w:color="auto" w:fill="FFFFFF"/>
        </w:rPr>
        <w:t>.14</w:t>
      </w:r>
      <w:r w:rsidR="00B40D80">
        <w:rPr>
          <w:rFonts w:eastAsia="Times New Roman" w:cs="Times New Roman"/>
          <w:color w:val="0066CC"/>
          <w:sz w:val="20"/>
          <w:szCs w:val="20"/>
          <w:u w:val="single"/>
          <w:shd w:val="clear" w:color="auto" w:fill="FFFFFF"/>
        </w:rPr>
        <w:fldChar w:fldCharType="end"/>
      </w:r>
      <w:r w:rsidR="00CA3598" w:rsidRPr="00653AE5">
        <w:rPr>
          <w:rFonts w:eastAsia="Times New Roman" w:cs="Times New Roman"/>
          <w:color w:val="444444"/>
          <w:sz w:val="20"/>
          <w:szCs w:val="20"/>
          <w:shd w:val="clear" w:color="auto" w:fill="FFFFFF"/>
        </w:rPr>
        <w:t xml:space="preserve">: </w:t>
      </w:r>
      <w:proofErr w:type="spellStart"/>
      <w:r w:rsidR="00CA3598" w:rsidRPr="00653AE5">
        <w:rPr>
          <w:rFonts w:eastAsia="Times New Roman" w:cs="Times New Roman"/>
          <w:color w:val="444444"/>
          <w:sz w:val="20"/>
          <w:szCs w:val="20"/>
          <w:shd w:val="clear" w:color="auto" w:fill="FFFFFF"/>
        </w:rPr>
        <w:t>Combatingracism</w:t>
      </w:r>
      <w:proofErr w:type="spellEnd"/>
      <w:r w:rsidR="00CA3598" w:rsidRPr="00653AE5">
        <w:rPr>
          <w:rFonts w:eastAsia="Times New Roman" w:cs="Times New Roman"/>
          <w:color w:val="444444"/>
          <w:sz w:val="20"/>
          <w:szCs w:val="20"/>
          <w:shd w:val="clear" w:color="auto" w:fill="FFFFFF"/>
        </w:rPr>
        <w:t xml:space="preserve"> and </w:t>
      </w:r>
      <w:proofErr w:type="spellStart"/>
      <w:r w:rsidR="00CA3598" w:rsidRPr="00653AE5">
        <w:rPr>
          <w:rFonts w:eastAsia="Times New Roman" w:cs="Times New Roman"/>
          <w:color w:val="444444"/>
          <w:sz w:val="20"/>
          <w:szCs w:val="20"/>
          <w:shd w:val="clear" w:color="auto" w:fill="FFFFFF"/>
        </w:rPr>
        <w:t>racialdiscrimination</w:t>
      </w:r>
      <w:proofErr w:type="spellEnd"/>
      <w:r w:rsidR="00CA3598" w:rsidRPr="00653AE5">
        <w:rPr>
          <w:rFonts w:eastAsia="Times New Roman" w:cs="Times New Roman"/>
          <w:color w:val="444444"/>
          <w:sz w:val="20"/>
          <w:szCs w:val="20"/>
          <w:shd w:val="clear" w:color="auto" w:fill="FFFFFF"/>
        </w:rPr>
        <w:t xml:space="preserve"> </w:t>
      </w:r>
      <w:proofErr w:type="spellStart"/>
      <w:r w:rsidR="00CA3598" w:rsidRPr="00653AE5">
        <w:rPr>
          <w:rFonts w:eastAsia="Times New Roman" w:cs="Times New Roman"/>
          <w:color w:val="444444"/>
          <w:sz w:val="20"/>
          <w:szCs w:val="20"/>
          <w:shd w:val="clear" w:color="auto" w:fill="FFFFFF"/>
        </w:rPr>
        <w:t>in</w:t>
      </w:r>
      <w:proofErr w:type="spellEnd"/>
      <w:r w:rsidR="00CA3598" w:rsidRPr="00653AE5">
        <w:rPr>
          <w:rFonts w:eastAsia="Times New Roman" w:cs="Times New Roman"/>
          <w:color w:val="444444"/>
          <w:sz w:val="20"/>
          <w:szCs w:val="20"/>
          <w:shd w:val="clear" w:color="auto" w:fill="FFFFFF"/>
        </w:rPr>
        <w:t xml:space="preserve"> </w:t>
      </w:r>
      <w:proofErr w:type="spellStart"/>
      <w:r w:rsidR="00CA3598" w:rsidRPr="00653AE5">
        <w:rPr>
          <w:rFonts w:eastAsia="Times New Roman" w:cs="Times New Roman"/>
          <w:color w:val="444444"/>
          <w:sz w:val="20"/>
          <w:szCs w:val="20"/>
          <w:shd w:val="clear" w:color="auto" w:fill="FFFFFF"/>
        </w:rPr>
        <w:t>employment</w:t>
      </w:r>
      <w:proofErr w:type="spellEnd"/>
      <w:r w:rsidR="00CA3598" w:rsidRPr="00653AE5">
        <w:rPr>
          <w:rFonts w:eastAsia="Times New Roman" w:cs="Times New Roman"/>
          <w:color w:val="444444"/>
          <w:sz w:val="20"/>
          <w:szCs w:val="20"/>
        </w:rPr>
        <w:br/>
      </w:r>
      <w:r w:rsidR="00CA3598" w:rsidRPr="00653AE5">
        <w:rPr>
          <w:rFonts w:eastAsia="Times New Roman" w:cs="Times New Roman"/>
          <w:noProof/>
          <w:sz w:val="20"/>
          <w:szCs w:val="20"/>
        </w:rPr>
        <w:drawing>
          <wp:inline distT="0" distB="0" distL="0" distR="0">
            <wp:extent cx="130810" cy="130810"/>
            <wp:effectExtent l="0" t="0" r="0" b="0"/>
            <wp:docPr id="34" name="Picture 15"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CA3598" w:rsidRPr="00653AE5">
        <w:rPr>
          <w:rFonts w:eastAsia="Times New Roman" w:cs="Times New Roman"/>
          <w:color w:val="444444"/>
          <w:shd w:val="clear" w:color="auto" w:fill="FFFFFF"/>
        </w:rPr>
        <w:t> </w:t>
      </w:r>
      <w:hyperlink r:id="rId47" w:history="1">
        <w:r w:rsidR="00CA3598" w:rsidRPr="00653AE5">
          <w:rPr>
            <w:rFonts w:eastAsia="Times New Roman" w:cs="Times New Roman"/>
            <w:color w:val="0066CC"/>
            <w:sz w:val="20"/>
            <w:szCs w:val="20"/>
            <w:u w:val="single"/>
            <w:shd w:val="clear" w:color="auto" w:fill="FFFFFF"/>
          </w:rPr>
          <w:t xml:space="preserve">ECRI General Policy </w:t>
        </w:r>
        <w:proofErr w:type="spellStart"/>
        <w:r w:rsidR="00CA3598" w:rsidRPr="00653AE5">
          <w:rPr>
            <w:rFonts w:eastAsia="Times New Roman" w:cs="Times New Roman"/>
            <w:color w:val="0066CC"/>
            <w:sz w:val="20"/>
            <w:szCs w:val="20"/>
            <w:u w:val="single"/>
            <w:shd w:val="clear" w:color="auto" w:fill="FFFFFF"/>
          </w:rPr>
          <w:t>Recommendation</w:t>
        </w:r>
        <w:proofErr w:type="spellEnd"/>
        <w:r w:rsidR="00CA3598" w:rsidRPr="00653AE5">
          <w:rPr>
            <w:rFonts w:eastAsia="Times New Roman" w:cs="Times New Roman"/>
            <w:color w:val="0066CC"/>
            <w:sz w:val="20"/>
            <w:szCs w:val="20"/>
            <w:u w:val="single"/>
            <w:shd w:val="clear" w:color="auto" w:fill="FFFFFF"/>
          </w:rPr>
          <w:t xml:space="preserve"> No.15</w:t>
        </w:r>
      </w:hyperlink>
      <w:r w:rsidR="00CA3598" w:rsidRPr="00653AE5">
        <w:rPr>
          <w:rFonts w:eastAsia="Times New Roman" w:cs="Times New Roman"/>
          <w:color w:val="444444"/>
          <w:sz w:val="20"/>
          <w:szCs w:val="20"/>
          <w:shd w:val="clear" w:color="auto" w:fill="FFFFFF"/>
        </w:rPr>
        <w:t xml:space="preserve">: </w:t>
      </w:r>
      <w:proofErr w:type="spellStart"/>
      <w:r w:rsidR="00CA3598" w:rsidRPr="00653AE5">
        <w:rPr>
          <w:rFonts w:eastAsia="Times New Roman" w:cs="Times New Roman"/>
          <w:color w:val="444444"/>
          <w:sz w:val="20"/>
          <w:szCs w:val="20"/>
          <w:shd w:val="clear" w:color="auto" w:fill="FFFFFF"/>
        </w:rPr>
        <w:t>CombatingHateSpeech</w:t>
      </w:r>
      <w:proofErr w:type="spellEnd"/>
      <w:r w:rsidR="00CA3598" w:rsidRPr="00653AE5">
        <w:rPr>
          <w:rFonts w:eastAsia="Times New Roman" w:cs="Times New Roman"/>
          <w:color w:val="444444"/>
          <w:sz w:val="20"/>
          <w:szCs w:val="20"/>
        </w:rPr>
        <w:br/>
      </w:r>
      <w:r w:rsidR="00CA3598" w:rsidRPr="00653AE5">
        <w:rPr>
          <w:rFonts w:eastAsia="Times New Roman" w:cs="Times New Roman"/>
          <w:noProof/>
          <w:sz w:val="20"/>
          <w:szCs w:val="20"/>
        </w:rPr>
        <w:drawing>
          <wp:inline distT="0" distB="0" distL="0" distR="0">
            <wp:extent cx="130810" cy="130810"/>
            <wp:effectExtent l="0" t="0" r="0" b="0"/>
            <wp:docPr id="35" name="Picture 16"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CA3598" w:rsidRPr="00653AE5">
        <w:rPr>
          <w:rFonts w:eastAsia="Times New Roman" w:cs="Times New Roman"/>
          <w:color w:val="444444"/>
          <w:shd w:val="clear" w:color="auto" w:fill="FFFFFF"/>
        </w:rPr>
        <w:t> </w:t>
      </w:r>
      <w:hyperlink r:id="rId48" w:history="1">
        <w:r w:rsidR="00CA3598" w:rsidRPr="00653AE5">
          <w:rPr>
            <w:rFonts w:eastAsia="Times New Roman" w:cs="Times New Roman"/>
            <w:color w:val="0066CC"/>
            <w:sz w:val="20"/>
            <w:szCs w:val="20"/>
            <w:u w:val="single"/>
            <w:shd w:val="clear" w:color="auto" w:fill="FFFFFF"/>
          </w:rPr>
          <w:t xml:space="preserve">ECRI General Policy </w:t>
        </w:r>
        <w:proofErr w:type="spellStart"/>
        <w:r w:rsidR="00CA3598" w:rsidRPr="00653AE5">
          <w:rPr>
            <w:rFonts w:eastAsia="Times New Roman" w:cs="Times New Roman"/>
            <w:color w:val="0066CC"/>
            <w:sz w:val="20"/>
            <w:szCs w:val="20"/>
            <w:u w:val="single"/>
            <w:shd w:val="clear" w:color="auto" w:fill="FFFFFF"/>
          </w:rPr>
          <w:t>Recommendation</w:t>
        </w:r>
        <w:proofErr w:type="spellEnd"/>
        <w:r w:rsidR="00CA3598" w:rsidRPr="00653AE5">
          <w:rPr>
            <w:rFonts w:eastAsia="Times New Roman" w:cs="Times New Roman"/>
            <w:color w:val="0066CC"/>
            <w:sz w:val="20"/>
            <w:szCs w:val="20"/>
            <w:u w:val="single"/>
            <w:shd w:val="clear" w:color="auto" w:fill="FFFFFF"/>
          </w:rPr>
          <w:t xml:space="preserve"> No.16</w:t>
        </w:r>
      </w:hyperlink>
      <w:r w:rsidR="00CA3598" w:rsidRPr="00653AE5">
        <w:rPr>
          <w:rFonts w:eastAsia="Times New Roman" w:cs="Times New Roman"/>
          <w:color w:val="444444"/>
          <w:sz w:val="20"/>
          <w:szCs w:val="20"/>
          <w:shd w:val="clear" w:color="auto" w:fill="FFFFFF"/>
        </w:rPr>
        <w:t xml:space="preserve">: </w:t>
      </w:r>
      <w:proofErr w:type="spellStart"/>
      <w:r w:rsidR="00CA3598" w:rsidRPr="00653AE5">
        <w:rPr>
          <w:rFonts w:eastAsia="Times New Roman" w:cs="Times New Roman"/>
          <w:color w:val="444444"/>
          <w:sz w:val="20"/>
          <w:szCs w:val="20"/>
          <w:shd w:val="clear" w:color="auto" w:fill="FFFFFF"/>
        </w:rPr>
        <w:t>Safeguardingirregularlypresentmigrantsfromdiscrimination</w:t>
      </w:r>
      <w:proofErr w:type="spellEnd"/>
    </w:p>
    <w:p w:rsidR="00CA3598" w:rsidRPr="00653AE5" w:rsidRDefault="00AA0B48" w:rsidP="00CA3598">
      <w:pPr>
        <w:pBdr>
          <w:top w:val="single" w:sz="4" w:space="1" w:color="auto"/>
          <w:left w:val="single" w:sz="4" w:space="4" w:color="auto"/>
          <w:bottom w:val="single" w:sz="4" w:space="1" w:color="auto"/>
          <w:right w:val="single" w:sz="4" w:space="4" w:color="auto"/>
        </w:pBdr>
        <w:spacing w:line="240" w:lineRule="auto"/>
        <w:rPr>
          <w:rFonts w:eastAsia="Times New Roman" w:cs="Times New Roman"/>
          <w:color w:val="0000FF" w:themeColor="hyperlink"/>
          <w:u w:val="single"/>
        </w:rPr>
      </w:pPr>
      <w:r>
        <w:rPr>
          <w:rFonts w:cs="Times New Roman"/>
        </w:rPr>
        <w:t>Lásd még</w:t>
      </w:r>
      <w:r w:rsidR="00CA3598" w:rsidRPr="00653AE5">
        <w:rPr>
          <w:rFonts w:cs="Times New Roman"/>
        </w:rPr>
        <w:t> </w:t>
      </w:r>
      <w:r w:rsidR="00CA3598" w:rsidRPr="00653AE5">
        <w:rPr>
          <w:rFonts w:eastAsia="Times New Roman" w:cs="Times New Roman"/>
          <w:noProof/>
          <w:color w:val="325498"/>
          <w:shd w:val="clear" w:color="auto" w:fill="FFFFFF"/>
        </w:rPr>
        <w:drawing>
          <wp:inline distT="0" distB="0" distL="0" distR="0">
            <wp:extent cx="130810" cy="130810"/>
            <wp:effectExtent l="0" t="0" r="0" b="0"/>
            <wp:docPr id="36" name="Picture 33" descr="http://www.coe.int/t/dghl/monitoring/ecri/activities/Themes/freedomexpression_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e.int/t/dghl/monitoring/ecri/activities/Themes/freedomexpression_EN-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CA3598" w:rsidRPr="00653AE5">
        <w:rPr>
          <w:rFonts w:eastAsia="Times New Roman" w:cs="Times New Roman"/>
          <w:color w:val="325498"/>
          <w:shd w:val="clear" w:color="auto" w:fill="FFFFFF"/>
        </w:rPr>
        <w:t> </w:t>
      </w:r>
      <w:proofErr w:type="spellStart"/>
      <w:r w:rsidR="00EA757C">
        <w:rPr>
          <w:lang w:val="el-GR"/>
        </w:rPr>
        <w:fldChar w:fldCharType="begin"/>
      </w:r>
      <w:r w:rsidR="00BC4F9D">
        <w:instrText xml:space="preserve"> HYPERLINK "http://www.coe.int/t/dghl/monitoring/ecri/activities/22-Freedom_of_expression_Seminar_2006/NSBR2006_proceedings_en.pdf" \t "_top" </w:instrText>
      </w:r>
      <w:r w:rsidR="00EA757C">
        <w:rPr>
          <w:lang w:val="el-GR"/>
        </w:rPr>
        <w:fldChar w:fldCharType="separate"/>
      </w:r>
      <w:r w:rsidR="00CA3598" w:rsidRPr="00653AE5">
        <w:rPr>
          <w:rFonts w:eastAsia="Times New Roman" w:cs="Times New Roman"/>
          <w:color w:val="0066CC"/>
          <w:u w:val="single"/>
          <w:shd w:val="clear" w:color="auto" w:fill="FFFFFF"/>
        </w:rPr>
        <w:t>Proceedings</w:t>
      </w:r>
      <w:proofErr w:type="spellEnd"/>
      <w:r w:rsidR="00CA3598" w:rsidRPr="00653AE5">
        <w:rPr>
          <w:rFonts w:eastAsia="Times New Roman" w:cs="Times New Roman"/>
          <w:color w:val="0066CC"/>
          <w:u w:val="single"/>
          <w:shd w:val="clear" w:color="auto" w:fill="FFFFFF"/>
        </w:rPr>
        <w:t xml:space="preserve"> of ECRI </w:t>
      </w:r>
      <w:proofErr w:type="spellStart"/>
      <w:r w:rsidR="00CA3598" w:rsidRPr="00653AE5">
        <w:rPr>
          <w:rFonts w:eastAsia="Times New Roman" w:cs="Times New Roman"/>
          <w:color w:val="0066CC"/>
          <w:u w:val="single"/>
          <w:shd w:val="clear" w:color="auto" w:fill="FFFFFF"/>
        </w:rPr>
        <w:t>ExpertSeminar</w:t>
      </w:r>
      <w:proofErr w:type="spellEnd"/>
      <w:r w:rsidR="00CA3598" w:rsidRPr="00653AE5">
        <w:rPr>
          <w:rFonts w:eastAsia="Times New Roman" w:cs="Times New Roman"/>
          <w:color w:val="0066CC"/>
          <w:u w:val="single"/>
          <w:shd w:val="clear" w:color="auto" w:fill="FFFFFF"/>
        </w:rPr>
        <w:t xml:space="preserve">: </w:t>
      </w:r>
      <w:proofErr w:type="spellStart"/>
      <w:r w:rsidR="00CA3598" w:rsidRPr="00653AE5">
        <w:rPr>
          <w:rFonts w:eastAsia="Times New Roman" w:cs="Times New Roman"/>
          <w:color w:val="0066CC"/>
          <w:u w:val="single"/>
          <w:shd w:val="clear" w:color="auto" w:fill="FFFFFF"/>
        </w:rPr>
        <w:t>Combatingracismwhilerespectingfreedom</w:t>
      </w:r>
      <w:proofErr w:type="spellEnd"/>
      <w:r w:rsidR="00CA3598" w:rsidRPr="00653AE5">
        <w:rPr>
          <w:rFonts w:eastAsia="Times New Roman" w:cs="Times New Roman"/>
          <w:color w:val="0066CC"/>
          <w:u w:val="single"/>
          <w:shd w:val="clear" w:color="auto" w:fill="FFFFFF"/>
        </w:rPr>
        <w:t xml:space="preserve"> of </w:t>
      </w:r>
      <w:proofErr w:type="spellStart"/>
      <w:r w:rsidR="00CA3598" w:rsidRPr="00653AE5">
        <w:rPr>
          <w:rFonts w:eastAsia="Times New Roman" w:cs="Times New Roman"/>
          <w:color w:val="0066CC"/>
          <w:u w:val="single"/>
          <w:shd w:val="clear" w:color="auto" w:fill="FFFFFF"/>
        </w:rPr>
        <w:t>expression</w:t>
      </w:r>
      <w:proofErr w:type="spellEnd"/>
      <w:r w:rsidR="00EA757C">
        <w:rPr>
          <w:rFonts w:eastAsia="Times New Roman" w:cs="Times New Roman"/>
          <w:color w:val="0066CC"/>
          <w:u w:val="single"/>
          <w:shd w:val="clear" w:color="auto" w:fill="FFFFFF"/>
        </w:rPr>
        <w:fldChar w:fldCharType="end"/>
      </w:r>
      <w:bookmarkStart w:id="38" w:name="P11_1505"/>
      <w:bookmarkEnd w:id="38"/>
      <w:r w:rsidR="00CA3598" w:rsidRPr="00653AE5">
        <w:rPr>
          <w:rFonts w:eastAsia="Times New Roman" w:cs="Times New Roman"/>
          <w:color w:val="444444"/>
          <w:shd w:val="clear" w:color="auto" w:fill="FFFFFF"/>
        </w:rPr>
        <w:t> </w:t>
      </w:r>
    </w:p>
    <w:p w:rsidR="008C1FB2" w:rsidRPr="00653AE5" w:rsidRDefault="008C1FB2" w:rsidP="00CA3598">
      <w:pPr>
        <w:keepNext/>
        <w:keepLines/>
        <w:spacing w:before="200" w:after="0"/>
        <w:outlineLvl w:val="2"/>
        <w:rPr>
          <w:rFonts w:asciiTheme="majorHAnsi" w:eastAsiaTheme="majorEastAsia" w:hAnsiTheme="majorHAnsi" w:cstheme="majorBidi"/>
          <w:b/>
          <w:bCs/>
          <w:color w:val="4F81BD" w:themeColor="accent1"/>
        </w:rPr>
      </w:pPr>
      <w:bookmarkStart w:id="39" w:name="_Toc346544869"/>
      <w:bookmarkStart w:id="40" w:name="_Toc346570280"/>
    </w:p>
    <w:p w:rsidR="00CA3598" w:rsidRPr="00653AE5" w:rsidRDefault="008541CA" w:rsidP="00CA3598">
      <w:pPr>
        <w:pStyle w:val="Cmsor3"/>
      </w:pPr>
      <w:bookmarkStart w:id="41" w:name="_Toc515458788"/>
      <w:r w:rsidRPr="00653AE5">
        <w:t>4.</w:t>
      </w:r>
      <w:r w:rsidR="00CA3598" w:rsidRPr="00653AE5">
        <w:t xml:space="preserve">2.3. </w:t>
      </w:r>
      <w:r w:rsidR="00772D04">
        <w:t>Európai Biztonsági és Együttműködési Szervezet</w:t>
      </w:r>
      <w:bookmarkEnd w:id="39"/>
      <w:bookmarkEnd w:id="40"/>
      <w:bookmarkEnd w:id="41"/>
    </w:p>
    <w:p w:rsidR="008C1FB2" w:rsidRPr="00653AE5" w:rsidRDefault="008C1FB2" w:rsidP="00CA3598">
      <w:pPr>
        <w:pStyle w:val="Cmsor4"/>
      </w:pPr>
      <w:bookmarkStart w:id="42" w:name="_Toc346570281"/>
    </w:p>
    <w:p w:rsidR="00CA3598" w:rsidRPr="00653AE5" w:rsidRDefault="008541CA" w:rsidP="00CA3598">
      <w:pPr>
        <w:pStyle w:val="Cmsor4"/>
      </w:pPr>
      <w:r w:rsidRPr="00653AE5">
        <w:t>4.</w:t>
      </w:r>
      <w:r w:rsidR="00CA3598" w:rsidRPr="00653AE5">
        <w:t>2.3.</w:t>
      </w:r>
      <w:proofErr w:type="gramStart"/>
      <w:r w:rsidR="00CA3598" w:rsidRPr="00653AE5">
        <w:t>a</w:t>
      </w:r>
      <w:proofErr w:type="gramEnd"/>
      <w:r w:rsidR="00CA3598" w:rsidRPr="00653AE5">
        <w:t xml:space="preserve"> </w:t>
      </w:r>
      <w:r w:rsidR="00772D04">
        <w:t>A Miniszter</w:t>
      </w:r>
      <w:r w:rsidR="00E70FC8">
        <w:t>i</w:t>
      </w:r>
      <w:r w:rsidR="00772D04">
        <w:t xml:space="preserve"> Tanácsa 4/2003 számú határozata a toleranciáról és a diszkriminációmentességről</w:t>
      </w:r>
      <w:bookmarkEnd w:id="42"/>
    </w:p>
    <w:p w:rsidR="00CA3598" w:rsidRPr="00653AE5" w:rsidRDefault="00B40D80" w:rsidP="00CA3598">
      <w:hyperlink r:id="rId49" w:history="1">
        <w:r w:rsidR="00CA3598" w:rsidRPr="00653AE5">
          <w:rPr>
            <w:color w:val="0000FF" w:themeColor="hyperlink"/>
            <w:u w:val="single"/>
          </w:rPr>
          <w:t>www.osce.org/mc/19382</w:t>
        </w:r>
      </w:hyperlink>
    </w:p>
    <w:p w:rsidR="008C1FB2" w:rsidRPr="00653AE5" w:rsidRDefault="008C1FB2" w:rsidP="00CA3598">
      <w:pPr>
        <w:pStyle w:val="Cmsor4"/>
      </w:pPr>
      <w:bookmarkStart w:id="43" w:name="_Toc346570282"/>
    </w:p>
    <w:p w:rsidR="00CA3598" w:rsidRPr="00653AE5" w:rsidRDefault="008541CA" w:rsidP="00CA3598">
      <w:pPr>
        <w:pStyle w:val="Cmsor4"/>
      </w:pPr>
      <w:r w:rsidRPr="00653AE5">
        <w:t>4.</w:t>
      </w:r>
      <w:r w:rsidR="00CA3598" w:rsidRPr="00653AE5">
        <w:t>2.3</w:t>
      </w:r>
      <w:proofErr w:type="gramStart"/>
      <w:r w:rsidR="00CA3598" w:rsidRPr="00653AE5">
        <w:t>.b</w:t>
      </w:r>
      <w:proofErr w:type="gramEnd"/>
      <w:r w:rsidR="00CA3598" w:rsidRPr="00653AE5">
        <w:t xml:space="preserve"> </w:t>
      </w:r>
      <w:r w:rsidR="00E70FC8">
        <w:t>Az Állandó Tanács</w:t>
      </w:r>
      <w:r w:rsidR="00CA3598" w:rsidRPr="00653AE5">
        <w:t xml:space="preserve"> 621/2004 </w:t>
      </w:r>
      <w:r w:rsidR="00E70FC8">
        <w:t>számú határozata a toleranciáról, valamint a rasszizmus, az idegengyűlölet és a diszkrimináció elleni küzdelemről</w:t>
      </w:r>
      <w:bookmarkEnd w:id="43"/>
    </w:p>
    <w:p w:rsidR="00CA3598" w:rsidRPr="00653AE5" w:rsidRDefault="00B40D80" w:rsidP="00CA3598">
      <w:hyperlink r:id="rId50" w:history="1">
        <w:r w:rsidR="00CA3598" w:rsidRPr="00653AE5">
          <w:rPr>
            <w:color w:val="0000FF" w:themeColor="hyperlink"/>
            <w:u w:val="single"/>
          </w:rPr>
          <w:t>www.osce.org/pc/35610</w:t>
        </w:r>
      </w:hyperlink>
    </w:p>
    <w:p w:rsidR="008C1FB2" w:rsidRPr="00653AE5" w:rsidRDefault="008C1FB2" w:rsidP="00CA3598">
      <w:pPr>
        <w:pStyle w:val="Cmsor4"/>
      </w:pPr>
      <w:bookmarkStart w:id="44" w:name="_Toc346570283"/>
    </w:p>
    <w:p w:rsidR="00CA3598" w:rsidRPr="00653AE5" w:rsidRDefault="008541CA" w:rsidP="00CA3598">
      <w:pPr>
        <w:pStyle w:val="Cmsor4"/>
      </w:pPr>
      <w:r w:rsidRPr="00653AE5">
        <w:t>4.</w:t>
      </w:r>
      <w:r w:rsidR="00CA3598" w:rsidRPr="00653AE5">
        <w:t xml:space="preserve">2.3.c </w:t>
      </w:r>
      <w:proofErr w:type="gramStart"/>
      <w:r w:rsidR="00E70FC8">
        <w:t>A</w:t>
      </w:r>
      <w:proofErr w:type="gramEnd"/>
      <w:r w:rsidR="00E70FC8">
        <w:t xml:space="preserve"> Miniszteri Tanács </w:t>
      </w:r>
      <w:r w:rsidR="00CA3598" w:rsidRPr="00653AE5">
        <w:t>9/2009</w:t>
      </w:r>
      <w:r w:rsidR="00E70FC8">
        <w:t xml:space="preserve"> számú határozata a gyűlölet-bűncselekmények elleni küzdelemről</w:t>
      </w:r>
      <w:bookmarkEnd w:id="44"/>
    </w:p>
    <w:p w:rsidR="00CA3598" w:rsidRPr="00653AE5" w:rsidRDefault="00B40D80" w:rsidP="00CA3598">
      <w:hyperlink r:id="rId51" w:history="1">
        <w:r w:rsidR="00CA3598" w:rsidRPr="00653AE5">
          <w:rPr>
            <w:color w:val="0000FF" w:themeColor="hyperlink"/>
            <w:u w:val="single"/>
          </w:rPr>
          <w:t>www.osce.org/cio/40695</w:t>
        </w:r>
      </w:hyperlink>
    </w:p>
    <w:p w:rsidR="00CA3598" w:rsidRPr="00653AE5" w:rsidRDefault="00CA3598" w:rsidP="00CA3598"/>
    <w:p w:rsidR="00CA3598" w:rsidRPr="00653AE5" w:rsidRDefault="008541CA" w:rsidP="00CA3598">
      <w:pPr>
        <w:pStyle w:val="Cmsor4"/>
      </w:pPr>
      <w:bookmarkStart w:id="45" w:name="_Toc346570284"/>
      <w:r w:rsidRPr="00653AE5">
        <w:lastRenderedPageBreak/>
        <w:t>4.</w:t>
      </w:r>
      <w:r w:rsidR="00CA3598" w:rsidRPr="00653AE5">
        <w:t>2.3</w:t>
      </w:r>
      <w:proofErr w:type="gramStart"/>
      <w:r w:rsidR="00CA3598" w:rsidRPr="00653AE5">
        <w:t>.d</w:t>
      </w:r>
      <w:proofErr w:type="gramEnd"/>
      <w:r w:rsidR="00CA3598" w:rsidRPr="00653AE5">
        <w:t xml:space="preserve"> </w:t>
      </w:r>
      <w:r w:rsidR="00E70FC8">
        <w:t>Demokratikus Intézmények és Emberi Jogok Irodája</w:t>
      </w:r>
      <w:bookmarkEnd w:id="45"/>
    </w:p>
    <w:p w:rsidR="00CA3598" w:rsidRPr="00653AE5" w:rsidRDefault="00E70FC8" w:rsidP="00CA3598">
      <w:pPr>
        <w:jc w:val="both"/>
      </w:pPr>
      <w:r>
        <w:t>A Demokratikus Intézmények és Emberi Jogok Irodája (ODIHR) feladata az EBESZ tagállamainak segítése az emberi jogok és alapvető szabadságok teljes tiszteletben tartásának biztosításában; a jogállamiság szabály</w:t>
      </w:r>
      <w:r w:rsidR="00146D72">
        <w:t>a</w:t>
      </w:r>
      <w:r>
        <w:t xml:space="preserve">inak betartásában; a demokrácia alapelveinek elmélyítésében; a demokratikus intézmények kiépítésében, megerősítésében és védelmében; és a tolerancia társadalomban </w:t>
      </w:r>
      <w:r w:rsidR="000214D2">
        <w:t xml:space="preserve">minden rétegében </w:t>
      </w:r>
      <w:r>
        <w:t xml:space="preserve">történő </w:t>
      </w:r>
      <w:r w:rsidR="000214D2">
        <w:t xml:space="preserve">népszerűsítésében. Az iroda fontos szerepet játszik az államok, a kormányok és a civil társadalom közötti párbeszéd erősítésében is. Ők szervezik </w:t>
      </w:r>
      <w:proofErr w:type="gramStart"/>
      <w:r w:rsidR="000214D2">
        <w:t>a</w:t>
      </w:r>
      <w:proofErr w:type="gramEnd"/>
      <w:r w:rsidR="000214D2">
        <w:t xml:space="preserve"> évente megrendezésre kerülő EBESZ Emberi Dimenziós Végrehajtási Találkozót és annak három kiegészítő találkozóját és egy szemináriumát is, amelyen a kormányok áttekintik a fejlődést, és platformot biztosítanak a civil szervezeteknek, hogy aggodalmaiknak szabadon hangot adjanak</w:t>
      </w:r>
      <w:r w:rsidR="00CA3598" w:rsidRPr="00653AE5">
        <w:t>.</w:t>
      </w:r>
    </w:p>
    <w:p w:rsidR="00202636" w:rsidRDefault="000214D2" w:rsidP="00CA3598">
      <w:pPr>
        <w:jc w:val="both"/>
      </w:pPr>
      <w:r>
        <w:t>A rasszizmus, az idegengyűlölet és az intolerancia egyéb formái továbbra is fenyegetik az egyre sokszínűbb társadalmakat az EBESZ által lefedett egész régióban. Az ODIHR felépített egy anyagokból és programokból álló gyűjteményt, amely diszkrimináció</w:t>
      </w:r>
      <w:r w:rsidR="00202636">
        <w:t>val</w:t>
      </w:r>
      <w:r>
        <w:t>, a gyűlölet-bűncselekmények</w:t>
      </w:r>
      <w:r w:rsidR="00202636">
        <w:t>kel</w:t>
      </w:r>
      <w:r>
        <w:t>, az antiszemitizmus</w:t>
      </w:r>
      <w:r w:rsidR="00202636">
        <w:t>sal</w:t>
      </w:r>
      <w:r>
        <w:t xml:space="preserve"> és a</w:t>
      </w:r>
      <w:r w:rsidR="00B5620A">
        <w:t>z intolerancia egyéb formái</w:t>
      </w:r>
      <w:r w:rsidR="00202636">
        <w:t xml:space="preserve">val, például a muszlimokkal, keresztényekkel és egyéb vallásokkal szembeni intoleranciával kapcsolatos ismeretterjesztésre szolgál. Stratégiai tanácsadással és a rendfenntartó szervek dolgozóinak, illetve oktatóinak képzésével az iroda segít kiépíteni a kormányok képességeit és kapacitását a problémák megelőzésére és kezelésére. Az ODIHR a civil társadalom gyűlölet-bűncselekmények és egyéb incidensek </w:t>
      </w:r>
      <w:proofErr w:type="spellStart"/>
      <w:r w:rsidR="00202636">
        <w:t>nyomonkövetésével</w:t>
      </w:r>
      <w:proofErr w:type="spellEnd"/>
      <w:r w:rsidR="00202636">
        <w:t xml:space="preserve"> és jelentésével kapcsolatos képességeinek javításán is dolgozik.</w:t>
      </w:r>
    </w:p>
    <w:p w:rsidR="00CA3598" w:rsidRPr="00653AE5" w:rsidRDefault="00CA3598" w:rsidP="00CA3598">
      <w:r w:rsidRPr="00653AE5">
        <w:tab/>
      </w:r>
    </w:p>
    <w:p w:rsidR="00CA3598" w:rsidRPr="00653AE5" w:rsidRDefault="00202636" w:rsidP="00CA3598">
      <w:pPr>
        <w:pBdr>
          <w:top w:val="single" w:sz="4" w:space="1" w:color="auto"/>
          <w:left w:val="single" w:sz="4" w:space="4" w:color="auto"/>
          <w:bottom w:val="single" w:sz="4" w:space="1" w:color="auto"/>
          <w:right w:val="single" w:sz="4" w:space="4" w:color="auto"/>
        </w:pBdr>
        <w:ind w:left="360"/>
      </w:pPr>
      <w:r>
        <w:t>Tudjon meg többet az</w:t>
      </w:r>
      <w:r w:rsidR="00CA3598" w:rsidRPr="00653AE5">
        <w:t xml:space="preserve"> ODIHR</w:t>
      </w:r>
      <w:r>
        <w:t xml:space="preserve"> munkájáról az alábbi linkeken</w:t>
      </w:r>
      <w:r w:rsidR="00CA3598" w:rsidRPr="00653AE5">
        <w:t>:</w:t>
      </w:r>
    </w:p>
    <w:p w:rsidR="00CA3598" w:rsidRPr="00653AE5" w:rsidRDefault="00B40D80" w:rsidP="00CA3598">
      <w:pPr>
        <w:numPr>
          <w:ilvl w:val="0"/>
          <w:numId w:val="9"/>
        </w:numPr>
        <w:pBdr>
          <w:top w:val="single" w:sz="4" w:space="1" w:color="auto"/>
          <w:left w:val="single" w:sz="4" w:space="4" w:color="auto"/>
          <w:bottom w:val="single" w:sz="4" w:space="1" w:color="auto"/>
          <w:right w:val="single" w:sz="4" w:space="4" w:color="auto"/>
        </w:pBdr>
        <w:spacing w:after="0" w:line="360" w:lineRule="auto"/>
        <w:jc w:val="both"/>
      </w:pPr>
      <w:hyperlink r:id="rId52" w:history="1">
        <w:r w:rsidR="00202636">
          <w:rPr>
            <w:color w:val="0000FF" w:themeColor="hyperlink"/>
            <w:u w:val="single"/>
          </w:rPr>
          <w:t xml:space="preserve">a muszlimok elleni intolerancia és diszkrimináció elleni </w:t>
        </w:r>
        <w:r w:rsidR="00F66ABF">
          <w:rPr>
            <w:color w:val="0000FF" w:themeColor="hyperlink"/>
            <w:u w:val="single"/>
          </w:rPr>
          <w:t>küzdelem</w:t>
        </w:r>
      </w:hyperlink>
    </w:p>
    <w:p w:rsidR="00CA3598" w:rsidRPr="00653AE5" w:rsidRDefault="00B40D80" w:rsidP="00CA3598">
      <w:pPr>
        <w:numPr>
          <w:ilvl w:val="0"/>
          <w:numId w:val="9"/>
        </w:numPr>
        <w:pBdr>
          <w:top w:val="single" w:sz="4" w:space="1" w:color="auto"/>
          <w:left w:val="single" w:sz="4" w:space="4" w:color="auto"/>
          <w:bottom w:val="single" w:sz="4" w:space="1" w:color="auto"/>
          <w:right w:val="single" w:sz="4" w:space="4" w:color="auto"/>
        </w:pBdr>
        <w:spacing w:after="0" w:line="360" w:lineRule="auto"/>
        <w:jc w:val="both"/>
      </w:pPr>
      <w:hyperlink r:id="rId53" w:history="1">
        <w:r w:rsidR="00F66ABF">
          <w:rPr>
            <w:color w:val="0000FF" w:themeColor="hyperlink"/>
            <w:u w:val="single"/>
          </w:rPr>
          <w:t>az antiszemitizmus elleni küzdelem és a holokauszt-emlékezet támogatása</w:t>
        </w:r>
      </w:hyperlink>
    </w:p>
    <w:p w:rsidR="00CA3598" w:rsidRPr="00653AE5" w:rsidRDefault="00F66ABF" w:rsidP="00CA3598">
      <w:pPr>
        <w:numPr>
          <w:ilvl w:val="0"/>
          <w:numId w:val="9"/>
        </w:numPr>
        <w:pBdr>
          <w:top w:val="single" w:sz="4" w:space="1" w:color="auto"/>
          <w:left w:val="single" w:sz="4" w:space="4" w:color="auto"/>
          <w:bottom w:val="single" w:sz="4" w:space="1" w:color="auto"/>
          <w:right w:val="single" w:sz="4" w:space="4" w:color="auto"/>
        </w:pBdr>
        <w:spacing w:after="0" w:line="360" w:lineRule="auto"/>
        <w:jc w:val="both"/>
      </w:pPr>
      <w:r>
        <w:rPr>
          <w:color w:val="0000FF" w:themeColor="hyperlink"/>
          <w:u w:val="single"/>
        </w:rPr>
        <w:t>a rasszizmus, az idegengyűlölet és a diszkrimináció elleni küzdelem</w:t>
      </w:r>
    </w:p>
    <w:p w:rsidR="00CA3598" w:rsidRPr="00653AE5" w:rsidRDefault="00B40D80" w:rsidP="00CA3598">
      <w:pPr>
        <w:numPr>
          <w:ilvl w:val="0"/>
          <w:numId w:val="9"/>
        </w:numPr>
        <w:pBdr>
          <w:top w:val="single" w:sz="4" w:space="1" w:color="auto"/>
          <w:left w:val="single" w:sz="4" w:space="4" w:color="auto"/>
          <w:bottom w:val="single" w:sz="4" w:space="1" w:color="auto"/>
          <w:right w:val="single" w:sz="4" w:space="4" w:color="auto"/>
        </w:pBdr>
        <w:spacing w:after="0" w:line="360" w:lineRule="auto"/>
        <w:jc w:val="both"/>
      </w:pPr>
      <w:hyperlink r:id="rId54" w:history="1">
        <w:r w:rsidR="00F66ABF">
          <w:rPr>
            <w:color w:val="0000FF" w:themeColor="hyperlink"/>
            <w:u w:val="single"/>
          </w:rPr>
          <w:t>a gyűlölet-bűncselekmények bejelentése</w:t>
        </w:r>
      </w:hyperlink>
    </w:p>
    <w:p w:rsidR="00CA3598" w:rsidRPr="00653AE5" w:rsidRDefault="00B40D80" w:rsidP="00CA3598">
      <w:pPr>
        <w:numPr>
          <w:ilvl w:val="0"/>
          <w:numId w:val="9"/>
        </w:numPr>
        <w:pBdr>
          <w:top w:val="single" w:sz="4" w:space="1" w:color="auto"/>
          <w:left w:val="single" w:sz="4" w:space="4" w:color="auto"/>
          <w:bottom w:val="single" w:sz="4" w:space="1" w:color="auto"/>
          <w:right w:val="single" w:sz="4" w:space="4" w:color="auto"/>
        </w:pBdr>
        <w:spacing w:after="0" w:line="360" w:lineRule="auto"/>
        <w:jc w:val="both"/>
      </w:pPr>
      <w:hyperlink r:id="rId55" w:history="1">
        <w:proofErr w:type="spellStart"/>
        <w:r w:rsidR="00CA3598" w:rsidRPr="00653AE5">
          <w:rPr>
            <w:color w:val="0000FF" w:themeColor="hyperlink"/>
            <w:u w:val="single"/>
          </w:rPr>
          <w:t>Tolerance</w:t>
        </w:r>
        <w:proofErr w:type="spellEnd"/>
        <w:r w:rsidR="00CA3598" w:rsidRPr="00653AE5">
          <w:rPr>
            <w:color w:val="0000FF" w:themeColor="hyperlink"/>
            <w:u w:val="single"/>
          </w:rPr>
          <w:t xml:space="preserve"> and </w:t>
        </w:r>
        <w:proofErr w:type="spellStart"/>
        <w:r w:rsidR="00CA3598" w:rsidRPr="00653AE5">
          <w:rPr>
            <w:color w:val="0000FF" w:themeColor="hyperlink"/>
            <w:u w:val="single"/>
          </w:rPr>
          <w:t>Non-Discrimination</w:t>
        </w:r>
        <w:proofErr w:type="spellEnd"/>
        <w:r w:rsidR="00CA3598" w:rsidRPr="00653AE5">
          <w:rPr>
            <w:color w:val="0000FF" w:themeColor="hyperlink"/>
            <w:u w:val="single"/>
          </w:rPr>
          <w:t> </w:t>
        </w:r>
        <w:proofErr w:type="spellStart"/>
        <w:r w:rsidR="00CA3598" w:rsidRPr="00653AE5">
          <w:rPr>
            <w:color w:val="0000FF" w:themeColor="hyperlink"/>
            <w:u w:val="single"/>
          </w:rPr>
          <w:t>Information</w:t>
        </w:r>
        <w:proofErr w:type="spellEnd"/>
        <w:r w:rsidR="00CA3598" w:rsidRPr="00653AE5">
          <w:rPr>
            <w:color w:val="0000FF" w:themeColor="hyperlink"/>
            <w:u w:val="single"/>
          </w:rPr>
          <w:t xml:space="preserve"> System (TANDIS)</w:t>
        </w:r>
      </w:hyperlink>
    </w:p>
    <w:p w:rsidR="008B772C" w:rsidRPr="00653AE5" w:rsidRDefault="008B772C" w:rsidP="0079440B">
      <w:pPr>
        <w:jc w:val="both"/>
        <w:rPr>
          <w:rFonts w:ascii="Times New Roman" w:hAnsi="Times New Roman" w:cs="Times New Roman"/>
          <w:iCs/>
          <w:sz w:val="24"/>
          <w:szCs w:val="24"/>
        </w:rPr>
      </w:pPr>
    </w:p>
    <w:p w:rsidR="008B772C" w:rsidRPr="00653AE5" w:rsidRDefault="008541CA" w:rsidP="008B772C">
      <w:pPr>
        <w:pStyle w:val="Cmsor1"/>
      </w:pPr>
      <w:bookmarkStart w:id="46" w:name="_Toc515458789"/>
      <w:r w:rsidRPr="00653AE5">
        <w:t>5</w:t>
      </w:r>
      <w:r w:rsidR="008B772C" w:rsidRPr="00653AE5">
        <w:t xml:space="preserve">. </w:t>
      </w:r>
      <w:r w:rsidR="00F66ABF">
        <w:t>Irodalomjegyzék</w:t>
      </w:r>
      <w:bookmarkEnd w:id="46"/>
    </w:p>
    <w:p w:rsidR="001B2F48" w:rsidRPr="00653AE5" w:rsidRDefault="001B2F48" w:rsidP="00D231D8"/>
    <w:p w:rsidR="001B2F48" w:rsidRPr="00653AE5" w:rsidRDefault="00911459" w:rsidP="00D231D8">
      <w:r w:rsidRPr="00653AE5">
        <w:t xml:space="preserve">Anderson, B., (2006), </w:t>
      </w:r>
      <w:proofErr w:type="spellStart"/>
      <w:r w:rsidRPr="00653AE5">
        <w:rPr>
          <w:i/>
        </w:rPr>
        <w:t>Imagined</w:t>
      </w:r>
      <w:proofErr w:type="spellEnd"/>
      <w:r w:rsidRPr="00653AE5">
        <w:rPr>
          <w:i/>
        </w:rPr>
        <w:t xml:space="preserve"> </w:t>
      </w:r>
      <w:proofErr w:type="spellStart"/>
      <w:r w:rsidRPr="00653AE5">
        <w:rPr>
          <w:i/>
        </w:rPr>
        <w:t>Communities</w:t>
      </w:r>
      <w:proofErr w:type="spellEnd"/>
      <w:r w:rsidRPr="00653AE5">
        <w:t xml:space="preserve">, London; New York: </w:t>
      </w:r>
      <w:proofErr w:type="spellStart"/>
      <w:r w:rsidRPr="00653AE5">
        <w:t>Verso</w:t>
      </w:r>
      <w:proofErr w:type="spellEnd"/>
    </w:p>
    <w:p w:rsidR="00A25D6B" w:rsidRPr="00653AE5" w:rsidRDefault="00A25D6B" w:rsidP="00D231D8">
      <w:proofErr w:type="spellStart"/>
      <w:r w:rsidRPr="00653AE5">
        <w:t>CentersforEducationalJustice</w:t>
      </w:r>
      <w:proofErr w:type="spellEnd"/>
      <w:r w:rsidRPr="00653AE5">
        <w:t xml:space="preserve"> and </w:t>
      </w:r>
      <w:proofErr w:type="spellStart"/>
      <w:r w:rsidRPr="00653AE5">
        <w:t>CommunityInclusion</w:t>
      </w:r>
      <w:proofErr w:type="spellEnd"/>
      <w:r w:rsidRPr="00653AE5">
        <w:t xml:space="preserve">, (n/a), </w:t>
      </w:r>
      <w:proofErr w:type="spellStart"/>
      <w:r w:rsidRPr="00653AE5">
        <w:rPr>
          <w:i/>
        </w:rPr>
        <w:t>What</w:t>
      </w:r>
      <w:proofErr w:type="spellEnd"/>
      <w:r w:rsidRPr="00653AE5">
        <w:rPr>
          <w:i/>
        </w:rPr>
        <w:t xml:space="preserve"> is a </w:t>
      </w:r>
      <w:proofErr w:type="spellStart"/>
      <w:r w:rsidRPr="00653AE5">
        <w:rPr>
          <w:i/>
        </w:rPr>
        <w:t>hatecrime</w:t>
      </w:r>
      <w:proofErr w:type="spellEnd"/>
      <w:r w:rsidRPr="00653AE5">
        <w:t xml:space="preserve">, </w:t>
      </w:r>
      <w:proofErr w:type="spellStart"/>
      <w:r w:rsidRPr="00653AE5">
        <w:t>availableat</w:t>
      </w:r>
      <w:proofErr w:type="spellEnd"/>
      <w:r w:rsidRPr="00653AE5">
        <w:t xml:space="preserve">: </w:t>
      </w:r>
      <w:hyperlink r:id="rId56" w:history="1">
        <w:r w:rsidRPr="00653AE5">
          <w:rPr>
            <w:rStyle w:val="Hiperhivatkozs"/>
          </w:rPr>
          <w:t>http://ejce.berkeley.edu/report-incident/what-hate-crime</w:t>
        </w:r>
      </w:hyperlink>
    </w:p>
    <w:p w:rsidR="00585D2D" w:rsidRPr="00653AE5" w:rsidRDefault="00585D2D" w:rsidP="00D231D8">
      <w:r w:rsidRPr="00653AE5">
        <w:t xml:space="preserve">ECHR (European </w:t>
      </w:r>
      <w:proofErr w:type="spellStart"/>
      <w:r w:rsidRPr="00653AE5">
        <w:t>Court</w:t>
      </w:r>
      <w:proofErr w:type="spellEnd"/>
      <w:r w:rsidRPr="00653AE5">
        <w:t xml:space="preserve"> of Human </w:t>
      </w:r>
      <w:proofErr w:type="spellStart"/>
      <w:r w:rsidRPr="00653AE5">
        <w:t>Rights</w:t>
      </w:r>
      <w:proofErr w:type="spellEnd"/>
      <w:r w:rsidRPr="00653AE5">
        <w:t xml:space="preserve">), (2013), </w:t>
      </w:r>
      <w:proofErr w:type="spellStart"/>
      <w:r w:rsidRPr="00653AE5">
        <w:rPr>
          <w:i/>
        </w:rPr>
        <w:t>Factsheet</w:t>
      </w:r>
      <w:proofErr w:type="spellEnd"/>
      <w:r w:rsidRPr="00653AE5">
        <w:rPr>
          <w:i/>
        </w:rPr>
        <w:t xml:space="preserve"> – </w:t>
      </w:r>
      <w:proofErr w:type="spellStart"/>
      <w:r w:rsidRPr="00653AE5">
        <w:rPr>
          <w:i/>
        </w:rPr>
        <w:t>RacialDiscrimination</w:t>
      </w:r>
      <w:proofErr w:type="spellEnd"/>
      <w:r w:rsidRPr="00653AE5">
        <w:t>, availableat</w:t>
      </w:r>
      <w:hyperlink r:id="rId57" w:history="1">
        <w:r w:rsidRPr="00653AE5">
          <w:rPr>
            <w:rStyle w:val="Hiperhivatkozs"/>
          </w:rPr>
          <w:t>http://www.echr.coe.int/Documents/FS_Racial_discrimination_ENG.pdf</w:t>
        </w:r>
      </w:hyperlink>
    </w:p>
    <w:p w:rsidR="00D231D8" w:rsidRPr="00653AE5" w:rsidRDefault="001B2F48" w:rsidP="00D231D8">
      <w:proofErr w:type="spellStart"/>
      <w:r w:rsidRPr="00653AE5">
        <w:lastRenderedPageBreak/>
        <w:t>Equality</w:t>
      </w:r>
      <w:proofErr w:type="spellEnd"/>
      <w:r w:rsidRPr="00653AE5">
        <w:t xml:space="preserve"> and Human </w:t>
      </w:r>
      <w:proofErr w:type="spellStart"/>
      <w:r w:rsidRPr="00653AE5">
        <w:t>RightsCommission</w:t>
      </w:r>
      <w:proofErr w:type="spellEnd"/>
      <w:r w:rsidRPr="00653AE5">
        <w:t xml:space="preserve">, (2016), </w:t>
      </w:r>
      <w:proofErr w:type="spellStart"/>
      <w:r w:rsidRPr="00653AE5">
        <w:rPr>
          <w:i/>
        </w:rPr>
        <w:t>Causes</w:t>
      </w:r>
      <w:proofErr w:type="spellEnd"/>
      <w:r w:rsidRPr="00653AE5">
        <w:rPr>
          <w:i/>
        </w:rPr>
        <w:t xml:space="preserve"> and </w:t>
      </w:r>
      <w:proofErr w:type="spellStart"/>
      <w:r w:rsidRPr="00653AE5">
        <w:rPr>
          <w:i/>
        </w:rPr>
        <w:t>motivations</w:t>
      </w:r>
      <w:proofErr w:type="spellEnd"/>
      <w:r w:rsidRPr="00653AE5">
        <w:rPr>
          <w:i/>
        </w:rPr>
        <w:t xml:space="preserve"> of </w:t>
      </w:r>
      <w:proofErr w:type="spellStart"/>
      <w:r w:rsidRPr="00653AE5">
        <w:rPr>
          <w:i/>
        </w:rPr>
        <w:t>hatecrime</w:t>
      </w:r>
      <w:proofErr w:type="spellEnd"/>
      <w:r w:rsidRPr="00653AE5">
        <w:t xml:space="preserve">, </w:t>
      </w:r>
      <w:proofErr w:type="spellStart"/>
      <w:r w:rsidRPr="00653AE5">
        <w:t>availableat</w:t>
      </w:r>
      <w:proofErr w:type="spellEnd"/>
      <w:r w:rsidRPr="00653AE5">
        <w:t xml:space="preserve">: </w:t>
      </w:r>
      <w:hyperlink r:id="rId58" w:history="1">
        <w:r w:rsidRPr="00653AE5">
          <w:rPr>
            <w:rStyle w:val="Hiperhivatkozs"/>
          </w:rPr>
          <w:t>https://www.equalityhumanrights.com/sites/default/files/research-report-102-causes-and-motivations-of-hate-crime.pdf</w:t>
        </w:r>
      </w:hyperlink>
    </w:p>
    <w:p w:rsidR="004B40D5" w:rsidRPr="00653AE5" w:rsidRDefault="004B40D5" w:rsidP="00D231D8">
      <w:pPr>
        <w:rPr>
          <w:bCs/>
          <w:i/>
        </w:rPr>
      </w:pPr>
      <w:r w:rsidRPr="00653AE5">
        <w:t xml:space="preserve">FRA (European Union </w:t>
      </w:r>
      <w:proofErr w:type="spellStart"/>
      <w:r w:rsidRPr="00653AE5">
        <w:t>AgencyforFundamentalRights</w:t>
      </w:r>
      <w:proofErr w:type="spellEnd"/>
      <w:r w:rsidRPr="00653AE5">
        <w:t xml:space="preserve">), (2012), </w:t>
      </w:r>
      <w:proofErr w:type="spellStart"/>
      <w:r w:rsidRPr="00653AE5">
        <w:rPr>
          <w:bCs/>
          <w:i/>
        </w:rPr>
        <w:t>Hatecrime</w:t>
      </w:r>
      <w:proofErr w:type="spellEnd"/>
      <w:r w:rsidRPr="00653AE5">
        <w:rPr>
          <w:bCs/>
          <w:i/>
        </w:rPr>
        <w:t xml:space="preserve"> </w:t>
      </w:r>
      <w:proofErr w:type="spellStart"/>
      <w:r w:rsidRPr="00653AE5">
        <w:rPr>
          <w:bCs/>
          <w:i/>
        </w:rPr>
        <w:t>in</w:t>
      </w:r>
      <w:proofErr w:type="spellEnd"/>
      <w:r w:rsidRPr="00653AE5">
        <w:rPr>
          <w:bCs/>
          <w:i/>
        </w:rPr>
        <w:t xml:space="preserve"> </w:t>
      </w:r>
      <w:proofErr w:type="spellStart"/>
      <w:r w:rsidRPr="00653AE5">
        <w:rPr>
          <w:bCs/>
          <w:i/>
        </w:rPr>
        <w:t>the</w:t>
      </w:r>
      <w:proofErr w:type="spellEnd"/>
      <w:r w:rsidRPr="00653AE5">
        <w:rPr>
          <w:bCs/>
          <w:i/>
        </w:rPr>
        <w:t xml:space="preserve"> European Union, </w:t>
      </w:r>
      <w:proofErr w:type="spellStart"/>
      <w:r w:rsidRPr="00653AE5">
        <w:rPr>
          <w:bCs/>
          <w:i/>
        </w:rPr>
        <w:t>availableat</w:t>
      </w:r>
      <w:proofErr w:type="spellEnd"/>
      <w:r w:rsidRPr="00653AE5">
        <w:rPr>
          <w:bCs/>
          <w:i/>
        </w:rPr>
        <w:t xml:space="preserve">: </w:t>
      </w:r>
      <w:hyperlink r:id="rId59" w:history="1">
        <w:r w:rsidRPr="00653AE5">
          <w:rPr>
            <w:rStyle w:val="Hiperhivatkozs"/>
          </w:rPr>
          <w:t>http://fra.europa.eu/en/publication/2012/hate-crime-european-union</w:t>
        </w:r>
      </w:hyperlink>
    </w:p>
    <w:p w:rsidR="007A592C" w:rsidRPr="00653AE5" w:rsidRDefault="007A592C" w:rsidP="00D231D8">
      <w:pPr>
        <w:jc w:val="both"/>
      </w:pPr>
      <w:r w:rsidRPr="00653AE5">
        <w:t xml:space="preserve">FRA (European Union </w:t>
      </w:r>
      <w:proofErr w:type="spellStart"/>
      <w:r w:rsidRPr="00653AE5">
        <w:t>AgencyforFundamentalRights</w:t>
      </w:r>
      <w:proofErr w:type="spellEnd"/>
      <w:r w:rsidRPr="00653AE5">
        <w:t xml:space="preserve">), (2016), </w:t>
      </w:r>
      <w:proofErr w:type="spellStart"/>
      <w:r w:rsidRPr="00653AE5">
        <w:rPr>
          <w:i/>
        </w:rPr>
        <w:t>Ensuringjusticeforhatecrimevictims</w:t>
      </w:r>
      <w:proofErr w:type="spellEnd"/>
      <w:r w:rsidRPr="00653AE5">
        <w:t xml:space="preserve">, </w:t>
      </w:r>
      <w:r w:rsidR="00585D2D" w:rsidRPr="00653AE5">
        <w:t>availableat:</w:t>
      </w:r>
      <w:hyperlink r:id="rId60" w:history="1">
        <w:r w:rsidRPr="00653AE5">
          <w:rPr>
            <w:rStyle w:val="Hiperhivatkozs"/>
          </w:rPr>
          <w:t>http://fra.europa.eu/en/publication/2016/ensuring-justice-hate-crime-victims-professional-perspectives</w:t>
        </w:r>
      </w:hyperlink>
    </w:p>
    <w:p w:rsidR="00585D2D" w:rsidRPr="00653AE5" w:rsidRDefault="00585D2D" w:rsidP="00585D2D">
      <w:pPr>
        <w:jc w:val="both"/>
      </w:pPr>
      <w:r w:rsidRPr="00653AE5">
        <w:t xml:space="preserve">FRA (European Union </w:t>
      </w:r>
      <w:proofErr w:type="spellStart"/>
      <w:r w:rsidRPr="00653AE5">
        <w:t>AgencyforFundamentalRights</w:t>
      </w:r>
      <w:proofErr w:type="spellEnd"/>
      <w:r w:rsidRPr="00653AE5">
        <w:t xml:space="preserve">), (2016b), </w:t>
      </w:r>
      <w:proofErr w:type="spellStart"/>
      <w:r w:rsidRPr="00653AE5">
        <w:rPr>
          <w:i/>
        </w:rPr>
        <w:t>Currentmigrationsituation</w:t>
      </w:r>
      <w:proofErr w:type="spellEnd"/>
      <w:r w:rsidRPr="00653AE5">
        <w:rPr>
          <w:i/>
        </w:rPr>
        <w:t xml:space="preserve"> </w:t>
      </w:r>
      <w:proofErr w:type="spellStart"/>
      <w:r w:rsidRPr="00653AE5">
        <w:rPr>
          <w:i/>
        </w:rPr>
        <w:t>in</w:t>
      </w:r>
      <w:proofErr w:type="spellEnd"/>
      <w:r w:rsidRPr="00653AE5">
        <w:rPr>
          <w:i/>
        </w:rPr>
        <w:t xml:space="preserve"> </w:t>
      </w:r>
      <w:proofErr w:type="spellStart"/>
      <w:r w:rsidRPr="00653AE5">
        <w:rPr>
          <w:i/>
        </w:rPr>
        <w:t>the</w:t>
      </w:r>
      <w:proofErr w:type="spellEnd"/>
      <w:r w:rsidRPr="00653AE5">
        <w:rPr>
          <w:i/>
        </w:rPr>
        <w:t xml:space="preserve"> EU: </w:t>
      </w:r>
      <w:proofErr w:type="spellStart"/>
      <w:r w:rsidRPr="00653AE5">
        <w:rPr>
          <w:i/>
        </w:rPr>
        <w:t>hatecrime</w:t>
      </w:r>
      <w:proofErr w:type="spellEnd"/>
      <w:r w:rsidRPr="00653AE5">
        <w:t xml:space="preserve">, </w:t>
      </w:r>
      <w:proofErr w:type="spellStart"/>
      <w:r w:rsidRPr="00653AE5">
        <w:t>availableat</w:t>
      </w:r>
      <w:proofErr w:type="spellEnd"/>
      <w:r w:rsidRPr="00653AE5">
        <w:t xml:space="preserve">: </w:t>
      </w:r>
      <w:hyperlink r:id="rId61" w:history="1">
        <w:r w:rsidRPr="00653AE5">
          <w:rPr>
            <w:rStyle w:val="Hiperhivatkozs"/>
          </w:rPr>
          <w:t>http://fra.europa.eu/sites/default/files/fra_uploads/fra-2016-november-monthly-focus-hate-crime_en.pdf</w:t>
        </w:r>
      </w:hyperlink>
    </w:p>
    <w:p w:rsidR="00585D2D" w:rsidRPr="00653AE5" w:rsidRDefault="004B40D5" w:rsidP="00D231D8">
      <w:pPr>
        <w:jc w:val="both"/>
      </w:pPr>
      <w:r w:rsidRPr="00653AE5">
        <w:t xml:space="preserve">FRA (European Union </w:t>
      </w:r>
      <w:proofErr w:type="spellStart"/>
      <w:r w:rsidRPr="00653AE5">
        <w:t>AgencyforFundamentalRights</w:t>
      </w:r>
      <w:proofErr w:type="spellEnd"/>
      <w:r w:rsidRPr="00653AE5">
        <w:t xml:space="preserve">), (n/a), </w:t>
      </w:r>
      <w:proofErr w:type="spellStart"/>
      <w:r w:rsidRPr="00653AE5">
        <w:rPr>
          <w:bCs/>
          <w:i/>
        </w:rPr>
        <w:t>Compendium</w:t>
      </w:r>
      <w:proofErr w:type="spellEnd"/>
      <w:r w:rsidRPr="00653AE5">
        <w:rPr>
          <w:bCs/>
          <w:i/>
        </w:rPr>
        <w:t xml:space="preserve"> of </w:t>
      </w:r>
      <w:proofErr w:type="spellStart"/>
      <w:r w:rsidRPr="00653AE5">
        <w:rPr>
          <w:bCs/>
          <w:i/>
        </w:rPr>
        <w:t>practices</w:t>
      </w:r>
      <w:proofErr w:type="spellEnd"/>
      <w:r w:rsidRPr="00653AE5">
        <w:rPr>
          <w:bCs/>
          <w:i/>
        </w:rPr>
        <w:t xml:space="preserve">, </w:t>
      </w:r>
      <w:r w:rsidRPr="00653AE5">
        <w:rPr>
          <w:bCs/>
        </w:rPr>
        <w:t>availableat:</w:t>
      </w:r>
      <w:hyperlink r:id="rId62" w:history="1">
        <w:r w:rsidRPr="00653AE5">
          <w:rPr>
            <w:rStyle w:val="Hiperhivatkozs"/>
          </w:rPr>
          <w:t>http://fra.europa.eu/en/theme/hate-crime/compendium-practices</w:t>
        </w:r>
      </w:hyperlink>
    </w:p>
    <w:p w:rsidR="00835207" w:rsidRPr="00653AE5" w:rsidRDefault="00835207" w:rsidP="00D231D8">
      <w:pPr>
        <w:jc w:val="both"/>
      </w:pPr>
      <w:proofErr w:type="spellStart"/>
      <w:r w:rsidRPr="00653AE5">
        <w:t>Grattet</w:t>
      </w:r>
      <w:proofErr w:type="spellEnd"/>
      <w:r w:rsidRPr="00653AE5">
        <w:t xml:space="preserve">, R. </w:t>
      </w:r>
      <w:proofErr w:type="spellStart"/>
      <w:r w:rsidRPr="00653AE5">
        <w:t>&amp;Jenness</w:t>
      </w:r>
      <w:proofErr w:type="spellEnd"/>
      <w:r w:rsidRPr="00653AE5">
        <w:t xml:space="preserve">, V., (2001), </w:t>
      </w:r>
      <w:r w:rsidRPr="00653AE5">
        <w:rPr>
          <w:bCs/>
        </w:rPr>
        <w:t xml:space="preserve">The </w:t>
      </w:r>
      <w:proofErr w:type="spellStart"/>
      <w:r w:rsidRPr="00653AE5">
        <w:rPr>
          <w:bCs/>
        </w:rPr>
        <w:t>Birth</w:t>
      </w:r>
      <w:proofErr w:type="spellEnd"/>
      <w:r w:rsidRPr="00653AE5">
        <w:rPr>
          <w:bCs/>
        </w:rPr>
        <w:t xml:space="preserve"> and </w:t>
      </w:r>
      <w:proofErr w:type="spellStart"/>
      <w:r w:rsidRPr="00653AE5">
        <w:rPr>
          <w:bCs/>
        </w:rPr>
        <w:t>Maturation</w:t>
      </w:r>
      <w:proofErr w:type="spellEnd"/>
      <w:r w:rsidRPr="00653AE5">
        <w:rPr>
          <w:bCs/>
        </w:rPr>
        <w:t xml:space="preserve"> of </w:t>
      </w:r>
      <w:proofErr w:type="spellStart"/>
      <w:r w:rsidRPr="00653AE5">
        <w:rPr>
          <w:bCs/>
        </w:rPr>
        <w:t>HateCrime</w:t>
      </w:r>
      <w:proofErr w:type="spellEnd"/>
      <w:r w:rsidRPr="00653AE5">
        <w:rPr>
          <w:bCs/>
        </w:rPr>
        <w:t xml:space="preserve"> Policy </w:t>
      </w:r>
      <w:proofErr w:type="spellStart"/>
      <w:r w:rsidRPr="00653AE5">
        <w:rPr>
          <w:bCs/>
        </w:rPr>
        <w:t>in</w:t>
      </w:r>
      <w:proofErr w:type="spellEnd"/>
      <w:r w:rsidRPr="00653AE5">
        <w:rPr>
          <w:bCs/>
        </w:rPr>
        <w:t xml:space="preserve"> </w:t>
      </w:r>
      <w:proofErr w:type="spellStart"/>
      <w:r w:rsidRPr="00653AE5">
        <w:rPr>
          <w:bCs/>
        </w:rPr>
        <w:t>the</w:t>
      </w:r>
      <w:proofErr w:type="spellEnd"/>
      <w:r w:rsidRPr="00653AE5">
        <w:rPr>
          <w:bCs/>
        </w:rPr>
        <w:t xml:space="preserve"> United </w:t>
      </w:r>
      <w:proofErr w:type="spellStart"/>
      <w:r w:rsidRPr="00653AE5">
        <w:rPr>
          <w:bCs/>
        </w:rPr>
        <w:t>States</w:t>
      </w:r>
      <w:proofErr w:type="spellEnd"/>
      <w:r w:rsidRPr="00653AE5">
        <w:rPr>
          <w:bCs/>
        </w:rPr>
        <w:t>,</w:t>
      </w:r>
      <w:r w:rsidRPr="00653AE5">
        <w:t xml:space="preserve"> </w:t>
      </w:r>
      <w:proofErr w:type="spellStart"/>
      <w:r w:rsidRPr="00653AE5">
        <w:t>In</w:t>
      </w:r>
      <w:proofErr w:type="spellEnd"/>
      <w:r w:rsidRPr="00653AE5">
        <w:t xml:space="preserve">: </w:t>
      </w:r>
      <w:r w:rsidRPr="00653AE5">
        <w:rPr>
          <w:bCs/>
          <w:i/>
        </w:rPr>
        <w:t xml:space="preserve">The American </w:t>
      </w:r>
      <w:proofErr w:type="spellStart"/>
      <w:r w:rsidRPr="00653AE5">
        <w:rPr>
          <w:bCs/>
          <w:i/>
        </w:rPr>
        <w:t>BehavioralScientist</w:t>
      </w:r>
      <w:proofErr w:type="spellEnd"/>
      <w:r w:rsidRPr="00653AE5">
        <w:rPr>
          <w:bCs/>
          <w:i/>
        </w:rPr>
        <w:t>,</w:t>
      </w:r>
      <w:r w:rsidRPr="00653AE5">
        <w:rPr>
          <w:bCs/>
        </w:rPr>
        <w:t xml:space="preserve"> </w:t>
      </w:r>
      <w:proofErr w:type="spellStart"/>
      <w:r w:rsidRPr="00653AE5">
        <w:rPr>
          <w:bCs/>
        </w:rPr>
        <w:t>Dec</w:t>
      </w:r>
      <w:proofErr w:type="spellEnd"/>
      <w:r w:rsidRPr="00653AE5">
        <w:rPr>
          <w:bCs/>
        </w:rPr>
        <w:t xml:space="preserve"> 2001 </w:t>
      </w:r>
      <w:proofErr w:type="spellStart"/>
      <w:r w:rsidRPr="00653AE5">
        <w:rPr>
          <w:bCs/>
        </w:rPr>
        <w:t>Vol</w:t>
      </w:r>
      <w:proofErr w:type="spellEnd"/>
      <w:r w:rsidRPr="00653AE5">
        <w:rPr>
          <w:bCs/>
        </w:rPr>
        <w:t xml:space="preserve"> </w:t>
      </w:r>
      <w:proofErr w:type="gramStart"/>
      <w:r w:rsidRPr="00653AE5">
        <w:rPr>
          <w:bCs/>
        </w:rPr>
        <w:t>45(</w:t>
      </w:r>
      <w:proofErr w:type="gramEnd"/>
      <w:r w:rsidRPr="00653AE5">
        <w:rPr>
          <w:bCs/>
        </w:rPr>
        <w:t xml:space="preserve">4), pp.668-696, </w:t>
      </w:r>
      <w:proofErr w:type="spellStart"/>
      <w:r w:rsidRPr="00653AE5">
        <w:rPr>
          <w:bCs/>
        </w:rPr>
        <w:t>availableat</w:t>
      </w:r>
      <w:proofErr w:type="spellEnd"/>
      <w:r w:rsidRPr="00653AE5">
        <w:rPr>
          <w:bCs/>
        </w:rPr>
        <w:t xml:space="preserve">: </w:t>
      </w:r>
      <w:hyperlink r:id="rId63" w:history="1">
        <w:r w:rsidRPr="00653AE5">
          <w:rPr>
            <w:rStyle w:val="Hiperhivatkozs"/>
            <w:bCs/>
          </w:rPr>
          <w:t>http://journals.sagepub.com/doi/abs/10.1177/00027640121957420</w:t>
        </w:r>
      </w:hyperlink>
    </w:p>
    <w:p w:rsidR="00950831" w:rsidRPr="00653AE5" w:rsidRDefault="00950831" w:rsidP="00D231D8">
      <w:pPr>
        <w:jc w:val="both"/>
      </w:pPr>
      <w:r w:rsidRPr="00653AE5">
        <w:t xml:space="preserve">INHS (International Network </w:t>
      </w:r>
      <w:proofErr w:type="spellStart"/>
      <w:r w:rsidRPr="00653AE5">
        <w:t>forHateStudies</w:t>
      </w:r>
      <w:proofErr w:type="spellEnd"/>
      <w:r w:rsidRPr="00653AE5">
        <w:t xml:space="preserve">), (2016), </w:t>
      </w:r>
      <w:proofErr w:type="spellStart"/>
      <w:r w:rsidRPr="00653AE5">
        <w:rPr>
          <w:i/>
        </w:rPr>
        <w:t>Common</w:t>
      </w:r>
      <w:proofErr w:type="spellEnd"/>
      <w:r w:rsidRPr="00653AE5">
        <w:rPr>
          <w:i/>
        </w:rPr>
        <w:t xml:space="preserve"> European </w:t>
      </w:r>
      <w:proofErr w:type="spellStart"/>
      <w:r w:rsidRPr="00653AE5">
        <w:rPr>
          <w:i/>
        </w:rPr>
        <w:t>hatecrimegrounds</w:t>
      </w:r>
      <w:proofErr w:type="spellEnd"/>
      <w:r w:rsidRPr="00653AE5">
        <w:rPr>
          <w:i/>
        </w:rPr>
        <w:t xml:space="preserve">: </w:t>
      </w:r>
      <w:proofErr w:type="spellStart"/>
      <w:r w:rsidRPr="00653AE5">
        <w:rPr>
          <w:i/>
        </w:rPr>
        <w:t>Canwefindthem</w:t>
      </w:r>
      <w:proofErr w:type="spellEnd"/>
      <w:proofErr w:type="gramStart"/>
      <w:r w:rsidRPr="00653AE5">
        <w:rPr>
          <w:i/>
        </w:rPr>
        <w:t>?</w:t>
      </w:r>
      <w:r w:rsidRPr="00653AE5">
        <w:t>,</w:t>
      </w:r>
      <w:proofErr w:type="gramEnd"/>
      <w:r w:rsidRPr="00653AE5">
        <w:t xml:space="preserve"> </w:t>
      </w:r>
      <w:proofErr w:type="spellStart"/>
      <w:r w:rsidRPr="00653AE5">
        <w:t>availableat</w:t>
      </w:r>
      <w:proofErr w:type="spellEnd"/>
      <w:r w:rsidRPr="00653AE5">
        <w:t xml:space="preserve">: </w:t>
      </w:r>
      <w:hyperlink r:id="rId64" w:history="1">
        <w:r w:rsidRPr="00653AE5">
          <w:rPr>
            <w:rStyle w:val="Hiperhivatkozs"/>
          </w:rPr>
          <w:t>http://www.internationalhatestudies.com/common-european-hate-crime-grounds-can-we-find-them/</w:t>
        </w:r>
      </w:hyperlink>
    </w:p>
    <w:p w:rsidR="00835207" w:rsidRPr="00653AE5" w:rsidRDefault="00835207" w:rsidP="00D231D8">
      <w:pPr>
        <w:jc w:val="both"/>
      </w:pPr>
      <w:proofErr w:type="spellStart"/>
      <w:r w:rsidRPr="00653AE5">
        <w:rPr>
          <w:bCs/>
        </w:rPr>
        <w:t>Naidoo</w:t>
      </w:r>
      <w:proofErr w:type="spellEnd"/>
      <w:r w:rsidRPr="00653AE5">
        <w:rPr>
          <w:bCs/>
        </w:rPr>
        <w:t>, K</w:t>
      </w:r>
      <w:proofErr w:type="gramStart"/>
      <w:r w:rsidRPr="00653AE5">
        <w:rPr>
          <w:bCs/>
        </w:rPr>
        <w:t>.,</w:t>
      </w:r>
      <w:proofErr w:type="gramEnd"/>
      <w:r w:rsidRPr="00653AE5">
        <w:rPr>
          <w:bCs/>
        </w:rPr>
        <w:t xml:space="preserve"> (2016), The </w:t>
      </w:r>
      <w:proofErr w:type="spellStart"/>
      <w:r w:rsidRPr="00653AE5">
        <w:rPr>
          <w:bCs/>
        </w:rPr>
        <w:t>Origins</w:t>
      </w:r>
      <w:proofErr w:type="spellEnd"/>
      <w:r w:rsidRPr="00653AE5">
        <w:rPr>
          <w:bCs/>
        </w:rPr>
        <w:t xml:space="preserve"> of </w:t>
      </w:r>
      <w:proofErr w:type="spellStart"/>
      <w:r w:rsidRPr="00653AE5">
        <w:rPr>
          <w:bCs/>
        </w:rPr>
        <w:t>hate-crimelaws</w:t>
      </w:r>
      <w:proofErr w:type="spellEnd"/>
      <w:r w:rsidRPr="00653AE5">
        <w:rPr>
          <w:bCs/>
        </w:rPr>
        <w:t xml:space="preserve">, </w:t>
      </w:r>
      <w:proofErr w:type="spellStart"/>
      <w:r w:rsidRPr="00653AE5">
        <w:rPr>
          <w:bCs/>
        </w:rPr>
        <w:t>availableat</w:t>
      </w:r>
      <w:proofErr w:type="spellEnd"/>
      <w:r w:rsidRPr="00653AE5">
        <w:rPr>
          <w:bCs/>
        </w:rPr>
        <w:t xml:space="preserve">: </w:t>
      </w:r>
      <w:hyperlink r:id="rId65" w:history="1">
        <w:r w:rsidRPr="00653AE5">
          <w:rPr>
            <w:rStyle w:val="Hiperhivatkozs"/>
            <w:bCs/>
          </w:rPr>
          <w:t>http://www.scielo.org.za/scielo.php?script=sci_arttext&amp;pid=S1021-545X2016000100004</w:t>
        </w:r>
      </w:hyperlink>
    </w:p>
    <w:p w:rsidR="00D231D8" w:rsidRPr="00653AE5" w:rsidRDefault="00D231D8" w:rsidP="00D231D8">
      <w:pPr>
        <w:jc w:val="both"/>
      </w:pPr>
      <w:r w:rsidRPr="00653AE5">
        <w:t xml:space="preserve">ODIHR, </w:t>
      </w:r>
      <w:proofErr w:type="spellStart"/>
      <w:r w:rsidRPr="00653AE5">
        <w:rPr>
          <w:i/>
          <w:iCs/>
        </w:rPr>
        <w:t>HateCrimeLaws</w:t>
      </w:r>
      <w:proofErr w:type="spellEnd"/>
      <w:r w:rsidRPr="00653AE5">
        <w:rPr>
          <w:i/>
          <w:iCs/>
        </w:rPr>
        <w:t xml:space="preserve">: A </w:t>
      </w:r>
      <w:proofErr w:type="spellStart"/>
      <w:r w:rsidRPr="00653AE5">
        <w:rPr>
          <w:i/>
          <w:iCs/>
        </w:rPr>
        <w:t>PracticalGuide</w:t>
      </w:r>
      <w:proofErr w:type="spellEnd"/>
      <w:r w:rsidRPr="00653AE5">
        <w:t xml:space="preserve">, </w:t>
      </w:r>
      <w:proofErr w:type="spellStart"/>
      <w:r w:rsidRPr="00653AE5">
        <w:t>Warsaw</w:t>
      </w:r>
      <w:proofErr w:type="spellEnd"/>
      <w:r w:rsidRPr="00653AE5">
        <w:t xml:space="preserve">: 2009. </w:t>
      </w:r>
      <w:proofErr w:type="spellStart"/>
      <w:r w:rsidRPr="00653AE5">
        <w:t>Availableat</w:t>
      </w:r>
      <w:proofErr w:type="spellEnd"/>
      <w:r w:rsidRPr="00653AE5">
        <w:t xml:space="preserve">: </w:t>
      </w:r>
      <w:hyperlink r:id="rId66" w:history="1">
        <w:r w:rsidRPr="00653AE5">
          <w:rPr>
            <w:rStyle w:val="Hiperhivatkozs"/>
          </w:rPr>
          <w:t>http://www.osce.org/odihr/36426</w:t>
        </w:r>
      </w:hyperlink>
    </w:p>
    <w:p w:rsidR="0030148A" w:rsidRPr="00653AE5" w:rsidRDefault="0030148A" w:rsidP="0030148A">
      <w:pPr>
        <w:jc w:val="both"/>
      </w:pPr>
      <w:r w:rsidRPr="00653AE5">
        <w:t xml:space="preserve">ODIHR, (2010), </w:t>
      </w:r>
      <w:r w:rsidR="00585D2D" w:rsidRPr="00653AE5">
        <w:rPr>
          <w:i/>
        </w:rPr>
        <w:t xml:space="preserve">ODIHR and </w:t>
      </w:r>
      <w:proofErr w:type="spellStart"/>
      <w:r w:rsidR="00585D2D" w:rsidRPr="00653AE5">
        <w:rPr>
          <w:i/>
        </w:rPr>
        <w:t>the</w:t>
      </w:r>
      <w:proofErr w:type="spellEnd"/>
      <w:r w:rsidR="00585D2D" w:rsidRPr="00653AE5">
        <w:rPr>
          <w:i/>
        </w:rPr>
        <w:t xml:space="preserve"> </w:t>
      </w:r>
      <w:proofErr w:type="spellStart"/>
      <w:r w:rsidR="00585D2D" w:rsidRPr="00653AE5">
        <w:rPr>
          <w:i/>
        </w:rPr>
        <w:t>Battle</w:t>
      </w:r>
      <w:r w:rsidRPr="00653AE5">
        <w:rPr>
          <w:i/>
        </w:rPr>
        <w:t>AgainstHateCrime</w:t>
      </w:r>
      <w:proofErr w:type="spellEnd"/>
      <w:proofErr w:type="gramStart"/>
      <w:r w:rsidRPr="00653AE5">
        <w:rPr>
          <w:i/>
        </w:rPr>
        <w:t>,</w:t>
      </w:r>
      <w:proofErr w:type="spellStart"/>
      <w:r w:rsidRPr="00653AE5">
        <w:t>availableat</w:t>
      </w:r>
      <w:proofErr w:type="spellEnd"/>
      <w:proofErr w:type="gramEnd"/>
      <w:r w:rsidRPr="00653AE5">
        <w:t xml:space="preserve">: </w:t>
      </w:r>
      <w:hyperlink r:id="rId67" w:history="1">
        <w:r w:rsidRPr="00653AE5">
          <w:rPr>
            <w:rStyle w:val="Hiperhivatkozs"/>
          </w:rPr>
          <w:t>http://addresshatecrime.eu/materialdocs/OSCE%20Guides/ODIHR%20and%20hate%20crime.pdf</w:t>
        </w:r>
      </w:hyperlink>
    </w:p>
    <w:p w:rsidR="00585D2D" w:rsidRPr="00653AE5" w:rsidRDefault="00585D2D" w:rsidP="0030148A">
      <w:pPr>
        <w:jc w:val="both"/>
      </w:pPr>
      <w:r w:rsidRPr="00653AE5">
        <w:t xml:space="preserve">ODIHR, (2014), </w:t>
      </w:r>
      <w:proofErr w:type="spellStart"/>
      <w:r w:rsidRPr="00653AE5">
        <w:rPr>
          <w:i/>
        </w:rPr>
        <w:t>ProsecutingHateCrimes</w:t>
      </w:r>
      <w:proofErr w:type="spellEnd"/>
      <w:r w:rsidRPr="00653AE5">
        <w:rPr>
          <w:i/>
        </w:rPr>
        <w:t xml:space="preserve">: A </w:t>
      </w:r>
      <w:proofErr w:type="spellStart"/>
      <w:r w:rsidRPr="00653AE5">
        <w:rPr>
          <w:i/>
        </w:rPr>
        <w:t>PracticalGuide</w:t>
      </w:r>
      <w:proofErr w:type="spellEnd"/>
      <w:r w:rsidRPr="00653AE5">
        <w:t xml:space="preserve">, </w:t>
      </w:r>
      <w:proofErr w:type="spellStart"/>
      <w:r w:rsidRPr="00653AE5">
        <w:t>availableat</w:t>
      </w:r>
      <w:proofErr w:type="spellEnd"/>
      <w:r w:rsidRPr="00653AE5">
        <w:t xml:space="preserve">: </w:t>
      </w:r>
      <w:hyperlink r:id="rId68" w:history="1">
        <w:r w:rsidRPr="00653AE5">
          <w:rPr>
            <w:rStyle w:val="Hiperhivatkozs"/>
          </w:rPr>
          <w:t>http://www.osce.org/odihr/prosecutorsguide?download=true</w:t>
        </w:r>
      </w:hyperlink>
    </w:p>
    <w:p w:rsidR="0030148A" w:rsidRPr="00653AE5" w:rsidRDefault="00950831" w:rsidP="00D231D8">
      <w:pPr>
        <w:jc w:val="both"/>
      </w:pPr>
      <w:r w:rsidRPr="00653AE5">
        <w:t xml:space="preserve">ODIHR, (2017), </w:t>
      </w:r>
      <w:proofErr w:type="spellStart"/>
      <w:r w:rsidRPr="00653AE5">
        <w:rPr>
          <w:i/>
        </w:rPr>
        <w:t>OpiniononDraftAmendmentstotheMoldovanCriminal</w:t>
      </w:r>
      <w:proofErr w:type="spellEnd"/>
      <w:r w:rsidRPr="00653AE5">
        <w:rPr>
          <w:i/>
        </w:rPr>
        <w:t xml:space="preserve"> and </w:t>
      </w:r>
      <w:proofErr w:type="spellStart"/>
      <w:r w:rsidRPr="00653AE5">
        <w:rPr>
          <w:i/>
        </w:rPr>
        <w:t>ContraventionCodesRelatingtoBias-MotivatedOffences</w:t>
      </w:r>
      <w:proofErr w:type="spellEnd"/>
      <w:r w:rsidRPr="00653AE5">
        <w:t xml:space="preserve">, </w:t>
      </w:r>
      <w:proofErr w:type="spellStart"/>
      <w:r w:rsidRPr="00653AE5">
        <w:t>availableat</w:t>
      </w:r>
      <w:proofErr w:type="spellEnd"/>
      <w:r w:rsidRPr="00653AE5">
        <w:t xml:space="preserve">: </w:t>
      </w:r>
      <w:hyperlink r:id="rId69" w:history="1">
        <w:r w:rsidRPr="00653AE5">
          <w:rPr>
            <w:rStyle w:val="Hiperhivatkozs"/>
          </w:rPr>
          <w:t>http://www.osce.org/odihr/313306?download=true</w:t>
        </w:r>
      </w:hyperlink>
    </w:p>
    <w:p w:rsidR="00585D2D" w:rsidRPr="00653AE5" w:rsidRDefault="00585D2D" w:rsidP="00D231D8">
      <w:pPr>
        <w:jc w:val="both"/>
      </w:pPr>
      <w:r w:rsidRPr="00653AE5">
        <w:t xml:space="preserve">ODIHR, (n/a/), </w:t>
      </w:r>
      <w:proofErr w:type="spellStart"/>
      <w:r w:rsidRPr="00653AE5">
        <w:rPr>
          <w:i/>
        </w:rPr>
        <w:t>What</w:t>
      </w:r>
      <w:proofErr w:type="spellEnd"/>
      <w:r w:rsidRPr="00653AE5">
        <w:rPr>
          <w:i/>
        </w:rPr>
        <w:t xml:space="preserve"> is </w:t>
      </w:r>
      <w:proofErr w:type="spellStart"/>
      <w:r w:rsidRPr="00653AE5">
        <w:rPr>
          <w:i/>
        </w:rPr>
        <w:t>hatecrime</w:t>
      </w:r>
      <w:proofErr w:type="spellEnd"/>
      <w:r w:rsidRPr="00653AE5">
        <w:t xml:space="preserve">, </w:t>
      </w:r>
      <w:proofErr w:type="spellStart"/>
      <w:r w:rsidRPr="00653AE5">
        <w:t>availableat</w:t>
      </w:r>
      <w:proofErr w:type="spellEnd"/>
      <w:r w:rsidRPr="00653AE5">
        <w:t xml:space="preserve">: </w:t>
      </w:r>
      <w:hyperlink r:id="rId70" w:history="1">
        <w:r w:rsidRPr="00653AE5">
          <w:rPr>
            <w:rStyle w:val="Hiperhivatkozs"/>
          </w:rPr>
          <w:t>http://hatecrime.osce.org/what-hate-crime</w:t>
        </w:r>
      </w:hyperlink>
    </w:p>
    <w:p w:rsidR="00D40A31" w:rsidRPr="00653AE5" w:rsidRDefault="00D40A31" w:rsidP="00D231D8">
      <w:pPr>
        <w:jc w:val="both"/>
      </w:pPr>
      <w:r w:rsidRPr="00653AE5">
        <w:t xml:space="preserve">The Guardian, (2017), </w:t>
      </w:r>
      <w:proofErr w:type="spellStart"/>
      <w:r w:rsidRPr="00653AE5">
        <w:rPr>
          <w:i/>
        </w:rPr>
        <w:t>Anti-Muslimhatecrimesurgesafter</w:t>
      </w:r>
      <w:proofErr w:type="spellEnd"/>
      <w:r w:rsidRPr="00653AE5">
        <w:rPr>
          <w:i/>
        </w:rPr>
        <w:t xml:space="preserve"> Manchester and London </w:t>
      </w:r>
      <w:proofErr w:type="spellStart"/>
      <w:r w:rsidRPr="00653AE5">
        <w:rPr>
          <w:i/>
        </w:rPr>
        <w:t>Bridgeattacks</w:t>
      </w:r>
      <w:proofErr w:type="spellEnd"/>
      <w:r w:rsidRPr="00653AE5">
        <w:t xml:space="preserve">, </w:t>
      </w:r>
      <w:proofErr w:type="spellStart"/>
      <w:r w:rsidRPr="00653AE5">
        <w:t>availableat</w:t>
      </w:r>
      <w:proofErr w:type="spellEnd"/>
      <w:r w:rsidRPr="00653AE5">
        <w:t xml:space="preserve">: </w:t>
      </w:r>
      <w:hyperlink r:id="rId71" w:history="1">
        <w:r w:rsidRPr="00653AE5">
          <w:rPr>
            <w:rStyle w:val="Hiperhivatkozs"/>
          </w:rPr>
          <w:t>https://www.theguardian.com/society/2017/jun/20/anti-muslim-hate-surges-after-manchester-and-london-bridge-attacks</w:t>
        </w:r>
      </w:hyperlink>
    </w:p>
    <w:p w:rsidR="00D231D8" w:rsidRPr="00F66ABF" w:rsidRDefault="00F66ABF" w:rsidP="00D231D8">
      <w:pPr>
        <w:jc w:val="both"/>
      </w:pPr>
      <w:r>
        <w:lastRenderedPageBreak/>
        <w:t xml:space="preserve">Az ENSZ Köszgyűlése által 1948. december 10-én elfogadott </w:t>
      </w:r>
      <w:r w:rsidRPr="00F66ABF">
        <w:rPr>
          <w:i/>
        </w:rPr>
        <w:t>Emberi Jogok Egyetemes Nyilatkozata</w:t>
      </w:r>
      <w:r w:rsidR="00D231D8" w:rsidRPr="00653AE5">
        <w:t>, </w:t>
      </w:r>
      <w:r>
        <w:t>elérhető</w:t>
      </w:r>
      <w:r w:rsidR="00D231D8" w:rsidRPr="00653AE5">
        <w:t xml:space="preserve">: </w:t>
      </w:r>
      <w:hyperlink r:id="rId72" w:history="1">
        <w:r w:rsidRPr="00F24C3F">
          <w:rPr>
            <w:rStyle w:val="Hiperhivatkozs"/>
          </w:rPr>
          <w:t>http://www.ohchr.org/EN/UDHR/Pages/Language.aspx?LangID=hng</w:t>
        </w:r>
      </w:hyperlink>
    </w:p>
    <w:sectPr w:rsidR="00D231D8" w:rsidRPr="00F66ABF" w:rsidSect="00903A78">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72" w:rsidRDefault="00146D72" w:rsidP="003B256E">
      <w:pPr>
        <w:spacing w:after="0" w:line="240" w:lineRule="auto"/>
      </w:pPr>
      <w:r>
        <w:separator/>
      </w:r>
    </w:p>
  </w:endnote>
  <w:endnote w:type="continuationSeparator" w:id="0">
    <w:p w:rsidR="00146D72" w:rsidRDefault="00146D72" w:rsidP="003B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72" w:rsidRDefault="00146D72" w:rsidP="003B256E">
      <w:pPr>
        <w:spacing w:after="0" w:line="240" w:lineRule="auto"/>
      </w:pPr>
      <w:r>
        <w:separator/>
      </w:r>
    </w:p>
  </w:footnote>
  <w:footnote w:type="continuationSeparator" w:id="0">
    <w:p w:rsidR="00146D72" w:rsidRDefault="00146D72" w:rsidP="003B256E">
      <w:pPr>
        <w:spacing w:after="0" w:line="240" w:lineRule="auto"/>
      </w:pPr>
      <w:r>
        <w:continuationSeparator/>
      </w:r>
    </w:p>
  </w:footnote>
  <w:footnote w:id="1">
    <w:p w:rsidR="00146D72" w:rsidRDefault="00146D72" w:rsidP="006A63ED">
      <w:pPr>
        <w:pStyle w:val="Lbjegyzetszveg"/>
        <w:jc w:val="both"/>
        <w:rPr>
          <w:lang w:val="en-GB"/>
        </w:rPr>
      </w:pPr>
      <w:r>
        <w:rPr>
          <w:rStyle w:val="Lbjegyzet-hivatkozs"/>
        </w:rPr>
        <w:footnoteRef/>
      </w:r>
      <w:r>
        <w:rPr>
          <w:lang w:val="en-US"/>
        </w:rPr>
        <w:t xml:space="preserve"> </w:t>
      </w:r>
      <w:proofErr w:type="spellStart"/>
      <w:proofErr w:type="gramStart"/>
      <w:r>
        <w:rPr>
          <w:lang w:val="en-US"/>
        </w:rPr>
        <w:t>Az</w:t>
      </w:r>
      <w:proofErr w:type="spellEnd"/>
      <w:r>
        <w:rPr>
          <w:lang w:val="en-US"/>
        </w:rPr>
        <w:t xml:space="preserve"> </w:t>
      </w:r>
      <w:proofErr w:type="spellStart"/>
      <w:r>
        <w:rPr>
          <w:lang w:val="en-US"/>
        </w:rPr>
        <w:t>EmeberiJogokEgyetemesNyilatkozata</w:t>
      </w:r>
      <w:proofErr w:type="spellEnd"/>
      <w:r>
        <w:rPr>
          <w:lang w:val="en-US"/>
        </w:rPr>
        <w:t xml:space="preserve"> I. </w:t>
      </w:r>
      <w:proofErr w:type="spellStart"/>
      <w:r>
        <w:rPr>
          <w:lang w:val="en-US"/>
        </w:rPr>
        <w:t>cikke</w:t>
      </w:r>
      <w:proofErr w:type="spellEnd"/>
      <w:r>
        <w:rPr>
          <w:lang w:val="en-US"/>
        </w:rPr>
        <w:t>.</w:t>
      </w:r>
      <w:proofErr w:type="gramEnd"/>
      <w:r>
        <w:rPr>
          <w:lang w:val="en-US"/>
        </w:rPr>
        <w:t xml:space="preserve"> </w:t>
      </w:r>
      <w:proofErr w:type="spellStart"/>
      <w:r>
        <w:rPr>
          <w:lang w:val="en-US"/>
        </w:rPr>
        <w:t>Lásd</w:t>
      </w:r>
      <w:proofErr w:type="spellEnd"/>
      <w:r>
        <w:rPr>
          <w:lang w:val="en-US"/>
        </w:rPr>
        <w:t xml:space="preserve"> </w:t>
      </w:r>
      <w:r>
        <w:rPr>
          <w:lang w:val="en-GB"/>
        </w:rPr>
        <w:t xml:space="preserve">ENSZ </w:t>
      </w:r>
      <w:proofErr w:type="spellStart"/>
      <w:r>
        <w:rPr>
          <w:lang w:val="en-GB"/>
        </w:rPr>
        <w:t>Közgyűlés</w:t>
      </w:r>
      <w:proofErr w:type="spellEnd"/>
      <w:r w:rsidRPr="00D231D8">
        <w:rPr>
          <w:lang w:val="en-GB"/>
        </w:rPr>
        <w:t>,</w:t>
      </w:r>
      <w:r>
        <w:rPr>
          <w:lang w:val="en-GB"/>
        </w:rPr>
        <w:t xml:space="preserve"> (1948),</w:t>
      </w:r>
      <w:r w:rsidRPr="00D231D8">
        <w:rPr>
          <w:lang w:val="en-GB"/>
        </w:rPr>
        <w:t> </w:t>
      </w:r>
      <w:proofErr w:type="spellStart"/>
      <w:r w:rsidRPr="00A70C6D">
        <w:rPr>
          <w:i/>
          <w:lang w:val="en-US"/>
        </w:rPr>
        <w:t>Emberi</w:t>
      </w:r>
      <w:proofErr w:type="spellEnd"/>
      <w:r>
        <w:rPr>
          <w:i/>
          <w:lang w:val="en-US"/>
        </w:rPr>
        <w:t xml:space="preserve"> </w:t>
      </w:r>
      <w:proofErr w:type="spellStart"/>
      <w:r w:rsidRPr="00A70C6D">
        <w:rPr>
          <w:i/>
          <w:lang w:val="en-US"/>
        </w:rPr>
        <w:t>Jogok</w:t>
      </w:r>
      <w:proofErr w:type="spellEnd"/>
      <w:r>
        <w:rPr>
          <w:i/>
          <w:lang w:val="en-US"/>
        </w:rPr>
        <w:t xml:space="preserve"> </w:t>
      </w:r>
      <w:proofErr w:type="spellStart"/>
      <w:r w:rsidRPr="00A70C6D">
        <w:rPr>
          <w:i/>
          <w:lang w:val="en-US"/>
        </w:rPr>
        <w:t>Egyetemes</w:t>
      </w:r>
      <w:proofErr w:type="spellEnd"/>
      <w:r>
        <w:rPr>
          <w:i/>
          <w:lang w:val="en-US"/>
        </w:rPr>
        <w:t xml:space="preserve"> </w:t>
      </w:r>
      <w:proofErr w:type="spellStart"/>
      <w:r w:rsidRPr="00A70C6D">
        <w:rPr>
          <w:i/>
          <w:lang w:val="en-US"/>
        </w:rPr>
        <w:t>Nyilatkozata</w:t>
      </w:r>
      <w:proofErr w:type="spellEnd"/>
      <w:r w:rsidRPr="00D231D8">
        <w:rPr>
          <w:lang w:val="en-GB"/>
        </w:rPr>
        <w:t xml:space="preserve">, </w:t>
      </w:r>
      <w:proofErr w:type="spellStart"/>
      <w:r>
        <w:rPr>
          <w:lang w:val="en-GB"/>
        </w:rPr>
        <w:t>elérhető</w:t>
      </w:r>
      <w:proofErr w:type="spellEnd"/>
      <w:r w:rsidRPr="00D231D8">
        <w:rPr>
          <w:lang w:val="en-GB"/>
        </w:rPr>
        <w:t>:</w:t>
      </w:r>
    </w:p>
    <w:p w:rsidR="00146D72" w:rsidRPr="00A70C6D" w:rsidRDefault="00B40D80" w:rsidP="006A63ED">
      <w:pPr>
        <w:pStyle w:val="Lbjegyzetszveg"/>
        <w:jc w:val="both"/>
      </w:pPr>
      <w:hyperlink r:id="rId1" w:history="1">
        <w:r w:rsidR="00146D72" w:rsidRPr="007956A9">
          <w:rPr>
            <w:rStyle w:val="Hiperhivatkozs"/>
          </w:rPr>
          <w:t>http://www.ohchr.org/EN/UDHR/Pages/Language.aspx?LangID=hng</w:t>
        </w:r>
      </w:hyperlink>
    </w:p>
  </w:footnote>
  <w:footnote w:id="2">
    <w:p w:rsidR="00146D72" w:rsidRPr="00076326" w:rsidRDefault="00146D72" w:rsidP="006A63ED">
      <w:pPr>
        <w:pStyle w:val="Lbjegyzetszveg"/>
        <w:jc w:val="both"/>
        <w:rPr>
          <w:lang w:val="en-US"/>
        </w:rPr>
      </w:pPr>
      <w:r>
        <w:rPr>
          <w:rStyle w:val="Lbjegyzet-hivatkozs"/>
        </w:rPr>
        <w:footnoteRef/>
      </w:r>
      <w:r>
        <w:rPr>
          <w:lang w:val="en-US"/>
        </w:rPr>
        <w:t xml:space="preserve">ODIHR, (2009), </w:t>
      </w:r>
      <w:r w:rsidRPr="00076326">
        <w:rPr>
          <w:i/>
          <w:iCs/>
          <w:lang w:val="en-US"/>
        </w:rPr>
        <w:t>Hate Crime Laws: A Practical Guide</w:t>
      </w:r>
      <w:r>
        <w:rPr>
          <w:lang w:val="en-US"/>
        </w:rPr>
        <w:t xml:space="preserve">, </w:t>
      </w:r>
      <w:proofErr w:type="spellStart"/>
      <w:r>
        <w:rPr>
          <w:lang w:val="en-US"/>
        </w:rPr>
        <w:t>elérhető</w:t>
      </w:r>
      <w:proofErr w:type="spellEnd"/>
      <w:r>
        <w:rPr>
          <w:lang w:val="en-US"/>
        </w:rPr>
        <w:t xml:space="preserve">: </w:t>
      </w:r>
      <w:hyperlink r:id="rId2" w:history="1">
        <w:r w:rsidRPr="001B2F48">
          <w:rPr>
            <w:rStyle w:val="Hiperhivatkozs"/>
            <w:lang w:val="en-US"/>
          </w:rPr>
          <w:t>http://www.osce.org/odihr/36426</w:t>
        </w:r>
      </w:hyperlink>
      <w:r>
        <w:rPr>
          <w:lang w:val="en-US"/>
        </w:rPr>
        <w:t xml:space="preserve">, </w:t>
      </w:r>
      <w:r w:rsidRPr="00076326">
        <w:rPr>
          <w:lang w:val="en-US"/>
        </w:rPr>
        <w:t>p. 16</w:t>
      </w:r>
      <w:r>
        <w:rPr>
          <w:lang w:val="en-US"/>
        </w:rPr>
        <w:t>.</w:t>
      </w:r>
    </w:p>
  </w:footnote>
  <w:footnote w:id="3">
    <w:p w:rsidR="00146D72" w:rsidRPr="00D231D8" w:rsidRDefault="00146D72" w:rsidP="006A63ED">
      <w:pPr>
        <w:pStyle w:val="Lbjegyzetszveg"/>
        <w:jc w:val="both"/>
        <w:rPr>
          <w:lang w:val="en-GB"/>
        </w:rPr>
      </w:pPr>
      <w:r>
        <w:rPr>
          <w:rStyle w:val="Lbjegyzet-hivatkozs"/>
        </w:rPr>
        <w:footnoteRef/>
      </w:r>
      <w:r w:rsidRPr="001B2F48">
        <w:rPr>
          <w:lang w:val="en-GB"/>
        </w:rPr>
        <w:t>Equality and Human Rights Commission</w:t>
      </w:r>
      <w:r>
        <w:rPr>
          <w:lang w:val="en-GB"/>
        </w:rPr>
        <w:t xml:space="preserve">, (2016), </w:t>
      </w:r>
      <w:r w:rsidRPr="001B2F48">
        <w:rPr>
          <w:i/>
          <w:lang w:val="en-GB"/>
        </w:rPr>
        <w:t>Causes and motivations of hate crime</w:t>
      </w:r>
      <w:r>
        <w:rPr>
          <w:lang w:val="en-GB"/>
        </w:rPr>
        <w:t xml:space="preserve">, </w:t>
      </w:r>
      <w:proofErr w:type="spellStart"/>
      <w:r>
        <w:rPr>
          <w:lang w:val="en-GB"/>
        </w:rPr>
        <w:t>elérhető</w:t>
      </w:r>
      <w:proofErr w:type="spellEnd"/>
      <w:r>
        <w:rPr>
          <w:lang w:val="en-GB"/>
        </w:rPr>
        <w:t xml:space="preserve">: </w:t>
      </w:r>
      <w:hyperlink r:id="rId3" w:history="1">
        <w:r w:rsidRPr="00AB3C58">
          <w:rPr>
            <w:rStyle w:val="Hiperhivatkozs"/>
            <w:lang w:val="en-GB"/>
          </w:rPr>
          <w:t>https://www.equalityhumanrights.com/sites/default/files/research-report-102-causes-and-motivations-of-hate-crime.pdf</w:t>
        </w:r>
      </w:hyperlink>
      <w:r>
        <w:rPr>
          <w:lang w:val="en-GB"/>
        </w:rPr>
        <w:t>,  p.11</w:t>
      </w:r>
    </w:p>
  </w:footnote>
  <w:footnote w:id="4">
    <w:p w:rsidR="00146D72" w:rsidRPr="00D40A31" w:rsidRDefault="00146D72" w:rsidP="006A63ED">
      <w:pPr>
        <w:pStyle w:val="Lbjegyzetszveg"/>
        <w:jc w:val="both"/>
        <w:rPr>
          <w:lang w:val="en-GB"/>
        </w:rPr>
      </w:pPr>
      <w:r>
        <w:rPr>
          <w:rStyle w:val="Lbjegyzet-hivatkozs"/>
        </w:rPr>
        <w:footnoteRef/>
      </w:r>
      <w:r w:rsidRPr="00D40A31">
        <w:rPr>
          <w:lang w:val="en-US"/>
        </w:rPr>
        <w:t>ODIHR, (2009</w:t>
      </w:r>
      <w:r>
        <w:rPr>
          <w:lang w:val="en-US"/>
        </w:rPr>
        <w:t>), op.cit., p.16</w:t>
      </w:r>
    </w:p>
  </w:footnote>
  <w:footnote w:id="5">
    <w:p w:rsidR="00146D72" w:rsidRPr="00576455" w:rsidRDefault="00146D72" w:rsidP="006A63ED">
      <w:pPr>
        <w:pStyle w:val="Lbjegyzetszveg"/>
        <w:jc w:val="both"/>
        <w:rPr>
          <w:lang w:val="en-US"/>
        </w:rPr>
      </w:pPr>
      <w:r>
        <w:rPr>
          <w:rStyle w:val="Lbjegyzet-hivatkozs"/>
        </w:rPr>
        <w:footnoteRef/>
      </w:r>
      <w:proofErr w:type="spellStart"/>
      <w:r>
        <w:rPr>
          <w:i/>
          <w:iCs/>
          <w:lang w:val="en-US"/>
        </w:rPr>
        <w:t>Uo</w:t>
      </w:r>
      <w:proofErr w:type="spellEnd"/>
      <w:r>
        <w:rPr>
          <w:i/>
          <w:iCs/>
          <w:lang w:val="en-US"/>
        </w:rPr>
        <w:t>.,</w:t>
      </w:r>
      <w:r>
        <w:rPr>
          <w:lang w:val="en-US"/>
        </w:rPr>
        <w:t xml:space="preserve"> pp. 17-19</w:t>
      </w:r>
    </w:p>
  </w:footnote>
  <w:footnote w:id="6">
    <w:p w:rsidR="00146D72" w:rsidRPr="00D40A31" w:rsidRDefault="00146D72" w:rsidP="006A63ED">
      <w:pPr>
        <w:pStyle w:val="Lbjegyzetszveg"/>
        <w:jc w:val="both"/>
        <w:rPr>
          <w:lang w:val="en-GB"/>
        </w:rPr>
      </w:pPr>
      <w:r>
        <w:rPr>
          <w:rStyle w:val="Lbjegyzet-hivatkozs"/>
        </w:rPr>
        <w:footnoteRef/>
      </w:r>
      <w:proofErr w:type="spellStart"/>
      <w:r>
        <w:rPr>
          <w:lang w:val="en-GB"/>
        </w:rPr>
        <w:t>Például</w:t>
      </w:r>
      <w:proofErr w:type="spellEnd"/>
      <w:r>
        <w:rPr>
          <w:lang w:val="en-GB"/>
        </w:rPr>
        <w:t xml:space="preserve"> </w:t>
      </w:r>
      <w:proofErr w:type="spellStart"/>
      <w:r>
        <w:rPr>
          <w:lang w:val="en-GB"/>
        </w:rPr>
        <w:t>lásd</w:t>
      </w:r>
      <w:proofErr w:type="spellEnd"/>
      <w:r>
        <w:rPr>
          <w:lang w:val="en-GB"/>
        </w:rPr>
        <w:t xml:space="preserve"> The Guardian, (2017), </w:t>
      </w:r>
      <w:r w:rsidRPr="00D40A31">
        <w:rPr>
          <w:i/>
          <w:lang w:val="en-GB"/>
        </w:rPr>
        <w:t>Anti-Muslim hate crime surges after Manchester and London Bridge attacks</w:t>
      </w:r>
      <w:r>
        <w:rPr>
          <w:lang w:val="en-GB"/>
        </w:rPr>
        <w:t xml:space="preserve">, </w:t>
      </w:r>
      <w:proofErr w:type="spellStart"/>
      <w:r>
        <w:rPr>
          <w:lang w:val="en-GB"/>
        </w:rPr>
        <w:t>elérhető</w:t>
      </w:r>
      <w:proofErr w:type="spellEnd"/>
      <w:r>
        <w:rPr>
          <w:lang w:val="en-GB"/>
        </w:rPr>
        <w:t xml:space="preserve">: </w:t>
      </w:r>
      <w:hyperlink r:id="rId4" w:history="1">
        <w:r w:rsidRPr="00AB3C58">
          <w:rPr>
            <w:rStyle w:val="Hiperhivatkozs"/>
            <w:lang w:val="en-GB"/>
          </w:rPr>
          <w:t>https://www.theguardian.com/society/2017/jun/20/anti-muslim-hate-surges-after-manchester-and-london-bridge-attacks</w:t>
        </w:r>
      </w:hyperlink>
    </w:p>
  </w:footnote>
  <w:footnote w:id="7">
    <w:p w:rsidR="00146D72" w:rsidRPr="00D40A31" w:rsidRDefault="00146D72" w:rsidP="006A63ED">
      <w:pPr>
        <w:pStyle w:val="Lbjegyzetszveg"/>
        <w:jc w:val="both"/>
        <w:rPr>
          <w:lang w:val="en-GB"/>
        </w:rPr>
      </w:pPr>
      <w:r>
        <w:rPr>
          <w:rStyle w:val="Lbjegyzet-hivatkozs"/>
        </w:rPr>
        <w:footnoteRef/>
      </w:r>
      <w:proofErr w:type="spellStart"/>
      <w:r>
        <w:rPr>
          <w:lang w:val="en-GB"/>
        </w:rPr>
        <w:t>Például</w:t>
      </w:r>
      <w:proofErr w:type="spellEnd"/>
      <w:r>
        <w:rPr>
          <w:lang w:val="en-GB"/>
        </w:rPr>
        <w:t xml:space="preserve"> </w:t>
      </w:r>
      <w:proofErr w:type="spellStart"/>
      <w:r>
        <w:rPr>
          <w:lang w:val="en-GB"/>
        </w:rPr>
        <w:t>lásd</w:t>
      </w:r>
      <w:proofErr w:type="spellEnd"/>
      <w:r>
        <w:rPr>
          <w:lang w:val="en-GB"/>
        </w:rPr>
        <w:t xml:space="preserve"> </w:t>
      </w:r>
      <w:r w:rsidRPr="00D40A31">
        <w:rPr>
          <w:lang w:val="en-GB"/>
        </w:rPr>
        <w:t>Equality and Human Rights Commission, (2016),</w:t>
      </w:r>
      <w:r>
        <w:rPr>
          <w:lang w:val="en-GB"/>
        </w:rPr>
        <w:t xml:space="preserve"> </w:t>
      </w:r>
      <w:proofErr w:type="spellStart"/>
      <w:r>
        <w:rPr>
          <w:lang w:val="en-GB"/>
        </w:rPr>
        <w:t>i.m</w:t>
      </w:r>
      <w:proofErr w:type="spellEnd"/>
      <w:r>
        <w:rPr>
          <w:lang w:val="en-GB"/>
        </w:rPr>
        <w:t xml:space="preserve">., p.28, </w:t>
      </w:r>
      <w:proofErr w:type="spellStart"/>
      <w:r>
        <w:rPr>
          <w:lang w:val="en-GB"/>
        </w:rPr>
        <w:t>hivatkozik</w:t>
      </w:r>
      <w:proofErr w:type="spellEnd"/>
      <w:r>
        <w:rPr>
          <w:lang w:val="en-GB"/>
        </w:rPr>
        <w:t xml:space="preserve"> </w:t>
      </w:r>
      <w:r w:rsidRPr="00D40A31">
        <w:rPr>
          <w:iCs/>
          <w:lang w:val="en-US"/>
        </w:rPr>
        <w:t xml:space="preserve">Gadd </w:t>
      </w:r>
      <w:r w:rsidRPr="00D40A31">
        <w:rPr>
          <w:i/>
          <w:iCs/>
          <w:lang w:val="en-US"/>
        </w:rPr>
        <w:t>et al.</w:t>
      </w:r>
      <w:r w:rsidRPr="00D40A31">
        <w:rPr>
          <w:iCs/>
          <w:lang w:val="en-US"/>
        </w:rPr>
        <w:t>, 2005; Ray and Smith, 2002</w:t>
      </w:r>
    </w:p>
  </w:footnote>
  <w:footnote w:id="8">
    <w:p w:rsidR="00146D72" w:rsidRPr="00BE7F99" w:rsidRDefault="00146D72" w:rsidP="006A63ED">
      <w:pPr>
        <w:pStyle w:val="Lbjegyzetszveg"/>
        <w:jc w:val="both"/>
        <w:rPr>
          <w:lang w:val="en-GB"/>
        </w:rPr>
      </w:pPr>
      <w:r>
        <w:rPr>
          <w:rStyle w:val="Lbjegyzet-hivatkozs"/>
        </w:rPr>
        <w:footnoteRef/>
      </w:r>
      <w:proofErr w:type="spellStart"/>
      <w:r>
        <w:rPr>
          <w:lang w:val="en-GB"/>
        </w:rPr>
        <w:t>Uo</w:t>
      </w:r>
      <w:proofErr w:type="spellEnd"/>
      <w:r>
        <w:rPr>
          <w:lang w:val="en-GB"/>
        </w:rPr>
        <w:t xml:space="preserve">., p.26, </w:t>
      </w:r>
      <w:proofErr w:type="spellStart"/>
      <w:r>
        <w:rPr>
          <w:lang w:val="en-GB"/>
        </w:rPr>
        <w:t>idézet</w:t>
      </w:r>
      <w:proofErr w:type="spellEnd"/>
      <w:r>
        <w:rPr>
          <w:lang w:val="en-GB"/>
        </w:rPr>
        <w:t xml:space="preserve"> Brown, 2010, p.7</w:t>
      </w:r>
    </w:p>
  </w:footnote>
  <w:footnote w:id="9">
    <w:p w:rsidR="00146D72" w:rsidRPr="0030148A" w:rsidRDefault="00146D72" w:rsidP="006A63ED">
      <w:pPr>
        <w:pStyle w:val="Lbjegyzetszveg"/>
        <w:jc w:val="both"/>
        <w:rPr>
          <w:lang w:val="en-GB"/>
        </w:rPr>
      </w:pPr>
      <w:r>
        <w:rPr>
          <w:rStyle w:val="Lbjegyzet-hivatkozs"/>
        </w:rPr>
        <w:footnoteRef/>
      </w:r>
      <w:r w:rsidRPr="00BE7F99">
        <w:rPr>
          <w:lang w:val="en-US"/>
        </w:rPr>
        <w:t xml:space="preserve">ODIHR, (2009), </w:t>
      </w:r>
      <w:proofErr w:type="spellStart"/>
      <w:r>
        <w:rPr>
          <w:lang w:val="en-US"/>
        </w:rPr>
        <w:t>i.m</w:t>
      </w:r>
      <w:proofErr w:type="spellEnd"/>
      <w:r w:rsidRPr="00BE7F99">
        <w:rPr>
          <w:lang w:val="en-US"/>
        </w:rPr>
        <w:t>., p.16</w:t>
      </w:r>
      <w:r>
        <w:rPr>
          <w:lang w:val="en-US"/>
        </w:rPr>
        <w:t xml:space="preserve">; ODIHR, (2010), </w:t>
      </w:r>
      <w:r w:rsidRPr="0030148A">
        <w:rPr>
          <w:i/>
          <w:lang w:val="en-US"/>
        </w:rPr>
        <w:t>ODIHR and the Battle Against Hate Crime</w:t>
      </w:r>
      <w:r>
        <w:rPr>
          <w:i/>
          <w:lang w:val="en-US"/>
        </w:rPr>
        <w:t>,</w:t>
      </w:r>
      <w:r>
        <w:rPr>
          <w:lang w:val="en-US"/>
        </w:rPr>
        <w:t xml:space="preserve"> </w:t>
      </w:r>
      <w:proofErr w:type="spellStart"/>
      <w:r>
        <w:rPr>
          <w:lang w:val="en-US"/>
        </w:rPr>
        <w:t>elérhető</w:t>
      </w:r>
      <w:proofErr w:type="spellEnd"/>
      <w:r>
        <w:rPr>
          <w:lang w:val="en-US"/>
        </w:rPr>
        <w:t xml:space="preserve">: </w:t>
      </w:r>
      <w:hyperlink r:id="rId5" w:history="1">
        <w:r w:rsidRPr="00AB3C58">
          <w:rPr>
            <w:rStyle w:val="Hiperhivatkozs"/>
            <w:lang w:val="en-US"/>
          </w:rPr>
          <w:t>http://addresshatecrime.eu/materialdocs/OSCE%20Guides/ODIHR%20and%20hate%20crime.pdf</w:t>
        </w:r>
      </w:hyperlink>
    </w:p>
  </w:footnote>
  <w:footnote w:id="10">
    <w:p w:rsidR="00146D72" w:rsidRPr="00835207" w:rsidRDefault="00146D72" w:rsidP="006A63ED">
      <w:pPr>
        <w:pStyle w:val="Lbjegyzetszveg"/>
        <w:jc w:val="both"/>
        <w:rPr>
          <w:lang w:val="en-GB"/>
        </w:rPr>
      </w:pPr>
      <w:r>
        <w:rPr>
          <w:rStyle w:val="Lbjegyzet-hivatkozs"/>
        </w:rPr>
        <w:footnoteRef/>
      </w:r>
      <w:r w:rsidRPr="00835207">
        <w:rPr>
          <w:lang w:val="en-US"/>
        </w:rPr>
        <w:t xml:space="preserve">ODIHR, (2009), </w:t>
      </w:r>
      <w:proofErr w:type="spellStart"/>
      <w:r>
        <w:rPr>
          <w:lang w:val="en-US"/>
        </w:rPr>
        <w:t>i.m</w:t>
      </w:r>
      <w:proofErr w:type="spellEnd"/>
      <w:r w:rsidRPr="00835207">
        <w:rPr>
          <w:lang w:val="en-US"/>
        </w:rPr>
        <w:t>., p.</w:t>
      </w:r>
      <w:r>
        <w:rPr>
          <w:lang w:val="en-US"/>
        </w:rPr>
        <w:t xml:space="preserve"> 37-39</w:t>
      </w:r>
    </w:p>
  </w:footnote>
  <w:footnote w:id="11">
    <w:p w:rsidR="00146D72" w:rsidRPr="00835207" w:rsidRDefault="00146D72" w:rsidP="006A63ED">
      <w:pPr>
        <w:pStyle w:val="Lbjegyzetszveg"/>
        <w:jc w:val="both"/>
        <w:rPr>
          <w:b/>
          <w:bCs/>
          <w:lang w:val="en-GB"/>
        </w:rPr>
      </w:pPr>
      <w:r>
        <w:rPr>
          <w:rStyle w:val="Lbjegyzet-hivatkozs"/>
        </w:rPr>
        <w:footnoteRef/>
      </w:r>
      <w:proofErr w:type="spellStart"/>
      <w:r>
        <w:rPr>
          <w:lang w:val="en-GB"/>
        </w:rPr>
        <w:t>Grattet</w:t>
      </w:r>
      <w:proofErr w:type="spellEnd"/>
      <w:r>
        <w:rPr>
          <w:lang w:val="en-GB"/>
        </w:rPr>
        <w:t>, R. &amp;</w:t>
      </w:r>
      <w:proofErr w:type="spellStart"/>
      <w:r>
        <w:rPr>
          <w:lang w:val="en-GB"/>
        </w:rPr>
        <w:t>Jenness</w:t>
      </w:r>
      <w:proofErr w:type="spellEnd"/>
      <w:r>
        <w:rPr>
          <w:lang w:val="en-GB"/>
        </w:rPr>
        <w:t xml:space="preserve">, V., (2001), </w:t>
      </w:r>
      <w:r w:rsidRPr="00835207">
        <w:rPr>
          <w:bCs/>
          <w:lang w:val="en-GB"/>
        </w:rPr>
        <w:t xml:space="preserve">The Birth and Maturation of Hate Crime Policy in the United </w:t>
      </w:r>
      <w:proofErr w:type="spellStart"/>
      <w:r w:rsidRPr="00835207">
        <w:rPr>
          <w:bCs/>
          <w:lang w:val="en-GB"/>
        </w:rPr>
        <w:t>States</w:t>
      </w:r>
      <w:r>
        <w:rPr>
          <w:bCs/>
          <w:lang w:val="en-GB"/>
        </w:rPr>
        <w:t>,</w:t>
      </w:r>
      <w:r>
        <w:rPr>
          <w:lang w:val="en-GB"/>
        </w:rPr>
        <w:t>In</w:t>
      </w:r>
      <w:proofErr w:type="spellEnd"/>
      <w:r>
        <w:rPr>
          <w:lang w:val="en-GB"/>
        </w:rPr>
        <w:t xml:space="preserve">: </w:t>
      </w:r>
      <w:r w:rsidRPr="00835207">
        <w:rPr>
          <w:bCs/>
          <w:i/>
          <w:lang w:val="en-GB"/>
        </w:rPr>
        <w:t xml:space="preserve">The American </w:t>
      </w:r>
      <w:proofErr w:type="spellStart"/>
      <w:r w:rsidRPr="00835207">
        <w:rPr>
          <w:bCs/>
          <w:i/>
          <w:lang w:val="en-GB"/>
        </w:rPr>
        <w:t>Behavioral</w:t>
      </w:r>
      <w:proofErr w:type="spellEnd"/>
      <w:r w:rsidRPr="00835207">
        <w:rPr>
          <w:bCs/>
          <w:i/>
          <w:lang w:val="en-GB"/>
        </w:rPr>
        <w:t xml:space="preserve"> Scientist</w:t>
      </w:r>
      <w:r>
        <w:rPr>
          <w:bCs/>
          <w:i/>
          <w:lang w:val="en-GB"/>
        </w:rPr>
        <w:t>,</w:t>
      </w:r>
      <w:r>
        <w:rPr>
          <w:bCs/>
          <w:lang w:val="en-GB"/>
        </w:rPr>
        <w:t xml:space="preserve"> Dec 2001 Vol 45(4), elérhető:</w:t>
      </w:r>
      <w:hyperlink r:id="rId6" w:history="1">
        <w:r w:rsidRPr="00AB3C58">
          <w:rPr>
            <w:rStyle w:val="Hiperhivatkozs"/>
            <w:bCs/>
            <w:lang w:val="en-GB"/>
          </w:rPr>
          <w:t>http://journals.sagepub.com/doi/abs/10.1177/00027640121957420</w:t>
        </w:r>
      </w:hyperlink>
      <w:r>
        <w:rPr>
          <w:bCs/>
          <w:lang w:val="en-GB"/>
        </w:rPr>
        <w:t xml:space="preserve">; Naidoo, K., (2016), The Origins of hate-crime laws, </w:t>
      </w:r>
      <w:proofErr w:type="spellStart"/>
      <w:r>
        <w:rPr>
          <w:bCs/>
          <w:lang w:val="en-GB"/>
        </w:rPr>
        <w:t>elérhető</w:t>
      </w:r>
      <w:proofErr w:type="spellEnd"/>
      <w:r>
        <w:rPr>
          <w:bCs/>
          <w:lang w:val="en-GB"/>
        </w:rPr>
        <w:t xml:space="preserve">: </w:t>
      </w:r>
      <w:hyperlink r:id="rId7" w:history="1">
        <w:r w:rsidRPr="00AB3C58">
          <w:rPr>
            <w:rStyle w:val="Hiperhivatkozs"/>
            <w:bCs/>
            <w:lang w:val="en-GB"/>
          </w:rPr>
          <w:t>http://www.scielo.org.za/scielo.php?script=sci_arttext&amp;pid=S1021-545X2016000100004</w:t>
        </w:r>
      </w:hyperlink>
    </w:p>
  </w:footnote>
  <w:footnote w:id="12">
    <w:p w:rsidR="00146D72" w:rsidRPr="00950831" w:rsidRDefault="00146D72" w:rsidP="006A63ED">
      <w:pPr>
        <w:pStyle w:val="Lbjegyzetszveg"/>
        <w:jc w:val="both"/>
        <w:rPr>
          <w:lang w:val="en-GB"/>
        </w:rPr>
      </w:pPr>
      <w:r>
        <w:rPr>
          <w:rStyle w:val="Lbjegyzet-hivatkozs"/>
        </w:rPr>
        <w:footnoteRef/>
      </w:r>
      <w:proofErr w:type="spellStart"/>
      <w:r>
        <w:rPr>
          <w:lang w:val="en-GB"/>
        </w:rPr>
        <w:t>Példáullásd</w:t>
      </w:r>
      <w:proofErr w:type="spellEnd"/>
      <w:r>
        <w:rPr>
          <w:lang w:val="en-GB"/>
        </w:rPr>
        <w:t xml:space="preserve"> ODIHR, (2017), </w:t>
      </w:r>
      <w:r>
        <w:rPr>
          <w:i/>
          <w:lang w:val="en-GB"/>
        </w:rPr>
        <w:t>Opinion on Draft Amendments to the Moldovan Criminal and Contravention Codes Relating to Bias-Motivated Offences</w:t>
      </w:r>
      <w:r>
        <w:rPr>
          <w:lang w:val="en-GB"/>
        </w:rPr>
        <w:t xml:space="preserve">, </w:t>
      </w:r>
      <w:proofErr w:type="spellStart"/>
      <w:r>
        <w:rPr>
          <w:lang w:val="en-GB"/>
        </w:rPr>
        <w:t>elérhető</w:t>
      </w:r>
      <w:proofErr w:type="spellEnd"/>
      <w:r>
        <w:rPr>
          <w:lang w:val="en-GB"/>
        </w:rPr>
        <w:t xml:space="preserve">: </w:t>
      </w:r>
      <w:hyperlink r:id="rId8" w:history="1">
        <w:r w:rsidRPr="00AB3C58">
          <w:rPr>
            <w:rStyle w:val="Hiperhivatkozs"/>
            <w:lang w:val="en-GB"/>
          </w:rPr>
          <w:t>http://www.osce.org/odihr/313306?download=true</w:t>
        </w:r>
      </w:hyperlink>
      <w:r>
        <w:rPr>
          <w:lang w:val="en-GB"/>
        </w:rPr>
        <w:t xml:space="preserve">; INHS (International Network for Hate Studies), (2016), </w:t>
      </w:r>
      <w:r w:rsidRPr="00950831">
        <w:rPr>
          <w:i/>
          <w:lang w:val="en-GB"/>
        </w:rPr>
        <w:t>Common European hate crime grounds: Can we find them?</w:t>
      </w:r>
      <w:r>
        <w:rPr>
          <w:lang w:val="en-GB"/>
        </w:rPr>
        <w:t xml:space="preserve">, </w:t>
      </w:r>
      <w:proofErr w:type="spellStart"/>
      <w:r>
        <w:rPr>
          <w:lang w:val="en-GB"/>
        </w:rPr>
        <w:t>elérhető</w:t>
      </w:r>
      <w:proofErr w:type="spellEnd"/>
      <w:r>
        <w:rPr>
          <w:lang w:val="en-GB"/>
        </w:rPr>
        <w:t xml:space="preserve">: </w:t>
      </w:r>
      <w:hyperlink r:id="rId9" w:history="1">
        <w:r w:rsidRPr="00AB3C58">
          <w:rPr>
            <w:rStyle w:val="Hiperhivatkozs"/>
            <w:lang w:val="en-GB"/>
          </w:rPr>
          <w:t>http://www.internationalhatestudies.com/common-european-hate-crime-grounds-can-we-find-them/</w:t>
        </w:r>
      </w:hyperlink>
    </w:p>
  </w:footnote>
  <w:footnote w:id="13">
    <w:p w:rsidR="00146D72" w:rsidRPr="00950831" w:rsidRDefault="00146D72" w:rsidP="006A63ED">
      <w:pPr>
        <w:pStyle w:val="Lbjegyzetszveg"/>
        <w:jc w:val="both"/>
        <w:rPr>
          <w:lang w:val="en-GB"/>
        </w:rPr>
      </w:pPr>
      <w:r>
        <w:rPr>
          <w:rStyle w:val="Lbjegyzet-hivatkozs"/>
        </w:rPr>
        <w:footnoteRef/>
      </w:r>
      <w:r w:rsidRPr="00950831">
        <w:rPr>
          <w:lang w:val="en-US"/>
        </w:rPr>
        <w:t xml:space="preserve">ODIHR, (2009), </w:t>
      </w:r>
      <w:proofErr w:type="spellStart"/>
      <w:r>
        <w:rPr>
          <w:lang w:val="en-US"/>
        </w:rPr>
        <w:t>i.m</w:t>
      </w:r>
      <w:proofErr w:type="spellEnd"/>
      <w:r w:rsidRPr="00950831">
        <w:rPr>
          <w:lang w:val="en-US"/>
        </w:rPr>
        <w:t>., p.</w:t>
      </w:r>
      <w:r>
        <w:rPr>
          <w:lang w:val="en-US"/>
        </w:rPr>
        <w:t>38</w:t>
      </w:r>
    </w:p>
  </w:footnote>
  <w:footnote w:id="14">
    <w:p w:rsidR="00146D72" w:rsidRPr="00911459" w:rsidRDefault="00146D72" w:rsidP="000D4FE0">
      <w:pPr>
        <w:pStyle w:val="Lbjegyzetszveg"/>
        <w:jc w:val="both"/>
        <w:rPr>
          <w:lang w:val="en-GB"/>
        </w:rPr>
      </w:pPr>
      <w:r>
        <w:rPr>
          <w:rStyle w:val="Lbjegyzet-hivatkozs"/>
        </w:rPr>
        <w:footnoteRef/>
      </w:r>
      <w:r>
        <w:rPr>
          <w:lang w:val="en-GB"/>
        </w:rPr>
        <w:t xml:space="preserve">Anderson, B., (2006), </w:t>
      </w:r>
      <w:r>
        <w:rPr>
          <w:i/>
          <w:lang w:val="en-GB"/>
        </w:rPr>
        <w:t>Imagined Communities</w:t>
      </w:r>
      <w:r>
        <w:rPr>
          <w:lang w:val="en-GB"/>
        </w:rPr>
        <w:t>, London; New York: Verso</w:t>
      </w:r>
    </w:p>
  </w:footnote>
  <w:footnote w:id="15">
    <w:p w:rsidR="00146D72" w:rsidRPr="00911459" w:rsidRDefault="00146D72" w:rsidP="000D4FE0">
      <w:pPr>
        <w:pStyle w:val="Lbjegyzetszveg"/>
        <w:jc w:val="both"/>
        <w:rPr>
          <w:lang w:val="en-GB"/>
        </w:rPr>
      </w:pPr>
      <w:r>
        <w:rPr>
          <w:rStyle w:val="Lbjegyzet-hivatkozs"/>
        </w:rPr>
        <w:footnoteRef/>
      </w:r>
      <w:r w:rsidRPr="00911459">
        <w:rPr>
          <w:lang w:val="en-US"/>
        </w:rPr>
        <w:t xml:space="preserve">ODIHR, (2009), </w:t>
      </w:r>
      <w:proofErr w:type="spellStart"/>
      <w:r>
        <w:rPr>
          <w:lang w:val="en-US"/>
        </w:rPr>
        <w:t>i.m</w:t>
      </w:r>
      <w:proofErr w:type="spellEnd"/>
      <w:r w:rsidRPr="00911459">
        <w:rPr>
          <w:lang w:val="en-US"/>
        </w:rPr>
        <w:t>., p.</w:t>
      </w:r>
      <w:r>
        <w:rPr>
          <w:lang w:val="en-US"/>
        </w:rPr>
        <w:t xml:space="preserve">40; </w:t>
      </w:r>
      <w:r w:rsidRPr="00911459">
        <w:rPr>
          <w:lang w:val="en-GB"/>
        </w:rPr>
        <w:t>Equality and Human Rights Commission, (2016),</w:t>
      </w:r>
      <w:proofErr w:type="spellStart"/>
      <w:r>
        <w:rPr>
          <w:lang w:val="en-GB"/>
        </w:rPr>
        <w:t>i.m</w:t>
      </w:r>
      <w:proofErr w:type="spellEnd"/>
      <w:r>
        <w:rPr>
          <w:lang w:val="en-GB"/>
        </w:rPr>
        <w:t>., p.18</w:t>
      </w:r>
    </w:p>
  </w:footnote>
  <w:footnote w:id="16">
    <w:p w:rsidR="00146D72" w:rsidRPr="00911459" w:rsidRDefault="00146D72" w:rsidP="000D4FE0">
      <w:pPr>
        <w:pStyle w:val="Lbjegyzetszveg"/>
        <w:jc w:val="both"/>
        <w:rPr>
          <w:lang w:val="en-GB"/>
        </w:rPr>
      </w:pPr>
      <w:r>
        <w:rPr>
          <w:rStyle w:val="Lbjegyzet-hivatkozs"/>
        </w:rPr>
        <w:footnoteRef/>
      </w:r>
      <w:r w:rsidRPr="00911459">
        <w:rPr>
          <w:lang w:val="en-US"/>
        </w:rPr>
        <w:t xml:space="preserve">ODIHR, (2009), </w:t>
      </w:r>
      <w:proofErr w:type="spellStart"/>
      <w:r>
        <w:rPr>
          <w:lang w:val="en-US"/>
        </w:rPr>
        <w:t>i.m</w:t>
      </w:r>
      <w:proofErr w:type="spellEnd"/>
      <w:r w:rsidRPr="00911459">
        <w:rPr>
          <w:lang w:val="en-US"/>
        </w:rPr>
        <w:t>.</w:t>
      </w:r>
      <w:r>
        <w:rPr>
          <w:lang w:val="en-US"/>
        </w:rPr>
        <w:t>, pp. 21-22</w:t>
      </w:r>
    </w:p>
  </w:footnote>
  <w:footnote w:id="17">
    <w:p w:rsidR="00146D72" w:rsidRPr="00CB7060" w:rsidRDefault="00146D72" w:rsidP="000D4FE0">
      <w:pPr>
        <w:pStyle w:val="Lbjegyzetszveg"/>
        <w:jc w:val="both"/>
      </w:pPr>
      <w:r w:rsidRPr="00CB7060">
        <w:rPr>
          <w:rStyle w:val="Lbjegyzet-hivatkozs"/>
        </w:rPr>
        <w:footnoteRef/>
      </w:r>
      <w:r w:rsidRPr="00CB7060">
        <w:t>Például lásd</w:t>
      </w:r>
      <w:r>
        <w:t xml:space="preserve"> </w:t>
      </w:r>
      <w:proofErr w:type="spellStart"/>
      <w:r w:rsidRPr="00CB7060">
        <w:t>Arendt</w:t>
      </w:r>
      <w:proofErr w:type="spellEnd"/>
      <w:r w:rsidRPr="00CB7060">
        <w:t xml:space="preserve"> művét a totalitarizmus gyökereiről, amely nagy erőfeszítéseket tesz, hogy bemutassa a náci Németország antiszemita jellege a II. Világháborút megelőző három évsz</w:t>
      </w:r>
      <w:r>
        <w:t>áz</w:t>
      </w:r>
      <w:r w:rsidRPr="00CB7060">
        <w:t>adra visszanyúló jelenség,</w:t>
      </w:r>
      <w:proofErr w:type="spellStart"/>
      <w:r w:rsidRPr="00CB7060">
        <w:t>Arendt</w:t>
      </w:r>
      <w:proofErr w:type="spellEnd"/>
      <w:r w:rsidRPr="00CB7060">
        <w:t xml:space="preserve">, H., (1992), </w:t>
      </w:r>
      <w:proofErr w:type="gramStart"/>
      <w:r w:rsidRPr="00CB7060">
        <w:rPr>
          <w:i/>
        </w:rPr>
        <w:t>A</w:t>
      </w:r>
      <w:proofErr w:type="gramEnd"/>
      <w:r w:rsidRPr="00CB7060">
        <w:rPr>
          <w:i/>
        </w:rPr>
        <w:t xml:space="preserve"> totalitarizmus gyökerei, </w:t>
      </w:r>
      <w:r w:rsidRPr="00CB7060">
        <w:t>Európa</w:t>
      </w:r>
    </w:p>
  </w:footnote>
  <w:footnote w:id="18">
    <w:p w:rsidR="00146D72" w:rsidRPr="000D4FE0" w:rsidRDefault="00146D72" w:rsidP="006A63ED">
      <w:pPr>
        <w:pStyle w:val="Lbjegyzetszveg"/>
        <w:jc w:val="both"/>
        <w:rPr>
          <w:lang w:val="en-GB"/>
        </w:rPr>
      </w:pPr>
      <w:r>
        <w:rPr>
          <w:rStyle w:val="Lbjegyzet-hivatkozs"/>
        </w:rPr>
        <w:footnoteRef/>
      </w:r>
      <w:r w:rsidRPr="000D4FE0">
        <w:rPr>
          <w:lang w:val="en-GB"/>
        </w:rPr>
        <w:t xml:space="preserve"> Equality and Human Rights Commission, (2016), op.cit., p.</w:t>
      </w:r>
      <w:r>
        <w:rPr>
          <w:lang w:val="en-GB"/>
        </w:rPr>
        <w:t>20</w:t>
      </w:r>
    </w:p>
  </w:footnote>
  <w:footnote w:id="19">
    <w:p w:rsidR="00146D72" w:rsidRPr="000D4FE0" w:rsidRDefault="00146D72" w:rsidP="006A63ED">
      <w:pPr>
        <w:pStyle w:val="Lbjegyzetszveg"/>
        <w:jc w:val="both"/>
        <w:rPr>
          <w:lang w:val="en-GB"/>
        </w:rPr>
      </w:pPr>
      <w:r>
        <w:rPr>
          <w:rStyle w:val="Lbjegyzet-hivatkozs"/>
        </w:rPr>
        <w:footnoteRef/>
      </w:r>
      <w:r>
        <w:rPr>
          <w:lang w:val="en-GB"/>
        </w:rPr>
        <w:t xml:space="preserve"> </w:t>
      </w:r>
      <w:proofErr w:type="spellStart"/>
      <w:r>
        <w:rPr>
          <w:lang w:val="en-GB"/>
        </w:rPr>
        <w:t>Lásd</w:t>
      </w:r>
      <w:proofErr w:type="spellEnd"/>
      <w:r>
        <w:rPr>
          <w:lang w:val="en-GB"/>
        </w:rPr>
        <w:t xml:space="preserve"> </w:t>
      </w:r>
      <w:proofErr w:type="spellStart"/>
      <w:r>
        <w:rPr>
          <w:lang w:val="en-GB"/>
        </w:rPr>
        <w:t>még</w:t>
      </w:r>
      <w:proofErr w:type="spellEnd"/>
      <w:r>
        <w:rPr>
          <w:lang w:val="en-GB"/>
        </w:rPr>
        <w:t xml:space="preserve"> </w:t>
      </w:r>
      <w:r w:rsidRPr="000D4FE0">
        <w:rPr>
          <w:lang w:val="en-GB"/>
        </w:rPr>
        <w:t>Equality and Human Rights Commission, (2016), op.cit.,</w:t>
      </w:r>
      <w:r>
        <w:rPr>
          <w:lang w:val="en-GB"/>
        </w:rPr>
        <w:t xml:space="preserve"> pp. 27-34</w:t>
      </w:r>
    </w:p>
  </w:footnote>
  <w:footnote w:id="20">
    <w:p w:rsidR="00146D72" w:rsidRPr="00A25D6B" w:rsidRDefault="00146D72" w:rsidP="006A63ED">
      <w:pPr>
        <w:pStyle w:val="Lbjegyzetszveg"/>
        <w:jc w:val="both"/>
        <w:rPr>
          <w:lang w:val="en-GB"/>
        </w:rPr>
      </w:pPr>
      <w:r>
        <w:rPr>
          <w:rStyle w:val="Lbjegyzet-hivatkozs"/>
        </w:rPr>
        <w:footnoteRef/>
      </w:r>
      <w:r w:rsidRPr="00A25D6B">
        <w:rPr>
          <w:lang w:val="en-GB"/>
        </w:rPr>
        <w:t xml:space="preserve"> Equality and Human Rights Commission, (2016), </w:t>
      </w:r>
      <w:proofErr w:type="spellStart"/>
      <w:r>
        <w:rPr>
          <w:lang w:val="en-GB"/>
        </w:rPr>
        <w:t>i.m</w:t>
      </w:r>
      <w:proofErr w:type="spellEnd"/>
      <w:r w:rsidRPr="00A25D6B">
        <w:rPr>
          <w:lang w:val="en-GB"/>
        </w:rPr>
        <w:t>., p.</w:t>
      </w:r>
      <w:r>
        <w:rPr>
          <w:lang w:val="en-GB"/>
        </w:rPr>
        <w:t>30</w:t>
      </w:r>
    </w:p>
  </w:footnote>
  <w:footnote w:id="21">
    <w:p w:rsidR="00146D72" w:rsidRPr="00FD55E6" w:rsidRDefault="00146D72" w:rsidP="006A63ED">
      <w:pPr>
        <w:pStyle w:val="Lbjegyzetszveg"/>
        <w:jc w:val="both"/>
        <w:rPr>
          <w:lang w:val="en-US"/>
        </w:rPr>
      </w:pPr>
      <w:r>
        <w:rPr>
          <w:rStyle w:val="Lbjegyzet-hivatkozs"/>
        </w:rPr>
        <w:footnoteRef/>
      </w:r>
      <w:r w:rsidRPr="00FD55E6">
        <w:rPr>
          <w:lang w:val="en-US"/>
        </w:rPr>
        <w:t xml:space="preserve"> Centers for Educational Justice and Community Inclusion, </w:t>
      </w:r>
      <w:r>
        <w:rPr>
          <w:lang w:val="en-US"/>
        </w:rPr>
        <w:t xml:space="preserve">(n/a), </w:t>
      </w:r>
      <w:r w:rsidRPr="00A25D6B">
        <w:rPr>
          <w:i/>
          <w:lang w:val="en-US"/>
        </w:rPr>
        <w:t>What is a hate crime</w:t>
      </w:r>
      <w:r w:rsidRPr="00FD55E6">
        <w:rPr>
          <w:lang w:val="en-US"/>
        </w:rPr>
        <w:t>,</w:t>
      </w:r>
      <w:r>
        <w:rPr>
          <w:lang w:val="en-US"/>
        </w:rPr>
        <w:t xml:space="preserve"> elérhető:</w:t>
      </w:r>
      <w:hyperlink r:id="rId10" w:history="1">
        <w:r w:rsidRPr="00FD55E6">
          <w:rPr>
            <w:rStyle w:val="Hiperhivatkozs"/>
            <w:lang w:val="en-US"/>
          </w:rPr>
          <w:t>http://ejce.berkeley.edu/report-incident/what-hate-crime</w:t>
        </w:r>
      </w:hyperlink>
    </w:p>
  </w:footnote>
  <w:footnote w:id="22">
    <w:p w:rsidR="00146D72" w:rsidRPr="001453A7" w:rsidRDefault="00146D72" w:rsidP="006A63ED">
      <w:pPr>
        <w:pStyle w:val="Lbjegyzetszveg"/>
        <w:jc w:val="both"/>
        <w:rPr>
          <w:lang w:val="en-US"/>
        </w:rPr>
      </w:pPr>
      <w:r>
        <w:rPr>
          <w:rStyle w:val="Lbjegyzet-hivatkozs"/>
        </w:rPr>
        <w:footnoteRef/>
      </w:r>
      <w:r w:rsidRPr="00A25D6B">
        <w:rPr>
          <w:i/>
          <w:iCs/>
          <w:lang w:val="en-US"/>
        </w:rPr>
        <w:t xml:space="preserve">ODIHR, (2009), </w:t>
      </w:r>
      <w:proofErr w:type="spellStart"/>
      <w:r>
        <w:rPr>
          <w:i/>
          <w:iCs/>
          <w:lang w:val="en-US"/>
        </w:rPr>
        <w:t>i.m</w:t>
      </w:r>
      <w:proofErr w:type="spellEnd"/>
      <w:r w:rsidRPr="00A25D6B">
        <w:rPr>
          <w:i/>
          <w:iCs/>
          <w:lang w:val="en-US"/>
        </w:rPr>
        <w:t xml:space="preserve">., </w:t>
      </w:r>
      <w:r w:rsidRPr="001453A7">
        <w:rPr>
          <w:lang w:val="en-US"/>
        </w:rPr>
        <w:t>p</w:t>
      </w:r>
      <w:r>
        <w:rPr>
          <w:lang w:val="en-US"/>
        </w:rPr>
        <w:t>.20</w:t>
      </w:r>
    </w:p>
  </w:footnote>
  <w:footnote w:id="23">
    <w:p w:rsidR="00146D72" w:rsidRPr="0085490E" w:rsidRDefault="00146D72" w:rsidP="006A63ED">
      <w:pPr>
        <w:pStyle w:val="Lbjegyzetszveg"/>
        <w:jc w:val="both"/>
        <w:rPr>
          <w:lang w:val="en-US"/>
        </w:rPr>
      </w:pPr>
      <w:r>
        <w:rPr>
          <w:rStyle w:val="Lbjegyzet-hivatkozs"/>
        </w:rPr>
        <w:footnoteRef/>
      </w:r>
      <w:proofErr w:type="spellStart"/>
      <w:r>
        <w:rPr>
          <w:lang w:val="en-US"/>
        </w:rPr>
        <w:t>Lásd</w:t>
      </w:r>
      <w:proofErr w:type="spellEnd"/>
      <w:r>
        <w:rPr>
          <w:lang w:val="en-US"/>
        </w:rPr>
        <w:t xml:space="preserve"> FRA (European Union Agency for Fundamental Rights), (2016), </w:t>
      </w:r>
      <w:r w:rsidRPr="001D4BA7">
        <w:rPr>
          <w:i/>
          <w:lang w:val="en-US"/>
        </w:rPr>
        <w:t>Ensuring justice for hate crime victims</w:t>
      </w:r>
      <w:r>
        <w:rPr>
          <w:lang w:val="en-US"/>
        </w:rPr>
        <w:t xml:space="preserve">, </w:t>
      </w:r>
      <w:proofErr w:type="spellStart"/>
      <w:r>
        <w:rPr>
          <w:lang w:val="en-US"/>
        </w:rPr>
        <w:t>elérhető</w:t>
      </w:r>
      <w:proofErr w:type="spellEnd"/>
      <w:r>
        <w:rPr>
          <w:lang w:val="en-US"/>
        </w:rPr>
        <w:t xml:space="preserve">: </w:t>
      </w:r>
      <w:hyperlink r:id="rId11" w:history="1">
        <w:r w:rsidRPr="00AA1641">
          <w:rPr>
            <w:rStyle w:val="Hiperhivatkozs"/>
            <w:lang w:val="en-US"/>
          </w:rPr>
          <w:t>http://fra.europa.eu/en/publication/2016/ensuring-justice-hate-crime-victims-professional-perspectives</w:t>
        </w:r>
      </w:hyperlink>
      <w:r>
        <w:rPr>
          <w:rStyle w:val="Hiperhivatkozs"/>
          <w:lang w:val="en-US"/>
        </w:rPr>
        <w:t>,</w:t>
      </w:r>
      <w:r>
        <w:rPr>
          <w:lang w:val="en-US"/>
        </w:rPr>
        <w:t xml:space="preserve"> pp.27-35</w:t>
      </w:r>
    </w:p>
  </w:footnote>
  <w:footnote w:id="24">
    <w:p w:rsidR="00146D72" w:rsidRPr="002131ED" w:rsidRDefault="00146D72" w:rsidP="006A63ED">
      <w:pPr>
        <w:pStyle w:val="Lbjegyzetszveg"/>
        <w:jc w:val="both"/>
        <w:rPr>
          <w:lang w:val="en-US"/>
        </w:rPr>
      </w:pPr>
      <w:r>
        <w:rPr>
          <w:rStyle w:val="Lbjegyzet-hivatkozs"/>
        </w:rPr>
        <w:footnoteRef/>
      </w:r>
      <w:r w:rsidRPr="00A25D6B">
        <w:rPr>
          <w:i/>
          <w:iCs/>
          <w:lang w:val="en-US"/>
        </w:rPr>
        <w:t xml:space="preserve">ODIHR, (2009), </w:t>
      </w:r>
      <w:proofErr w:type="spellStart"/>
      <w:r>
        <w:rPr>
          <w:i/>
          <w:iCs/>
          <w:lang w:val="en-US"/>
        </w:rPr>
        <w:t>i.m</w:t>
      </w:r>
      <w:proofErr w:type="spellEnd"/>
      <w:r w:rsidRPr="00A25D6B">
        <w:rPr>
          <w:i/>
          <w:iCs/>
          <w:lang w:val="en-US"/>
        </w:rPr>
        <w:t>.</w:t>
      </w:r>
      <w:r w:rsidRPr="002131ED">
        <w:rPr>
          <w:lang w:val="en-US"/>
        </w:rPr>
        <w:t>, p</w:t>
      </w:r>
      <w:r>
        <w:rPr>
          <w:lang w:val="en-US"/>
        </w:rPr>
        <w:t>.20</w:t>
      </w:r>
    </w:p>
  </w:footnote>
  <w:footnote w:id="25">
    <w:p w:rsidR="00146D72" w:rsidRPr="00767004" w:rsidRDefault="00146D72" w:rsidP="00B756A5">
      <w:pPr>
        <w:pStyle w:val="Lbjegyzetszveg"/>
        <w:jc w:val="both"/>
        <w:rPr>
          <w:lang w:val="en-US"/>
        </w:rPr>
      </w:pPr>
      <w:r>
        <w:rPr>
          <w:rStyle w:val="Lbjegyzet-hivatkozs"/>
        </w:rPr>
        <w:footnoteRef/>
      </w:r>
      <w:r>
        <w:rPr>
          <w:lang w:val="en-US"/>
        </w:rPr>
        <w:t xml:space="preserve"> </w:t>
      </w:r>
      <w:proofErr w:type="spellStart"/>
      <w:r>
        <w:rPr>
          <w:lang w:val="en-US"/>
        </w:rPr>
        <w:t>Emberi</w:t>
      </w:r>
      <w:proofErr w:type="spellEnd"/>
      <w:r>
        <w:rPr>
          <w:lang w:val="en-US"/>
        </w:rPr>
        <w:t xml:space="preserve"> </w:t>
      </w:r>
      <w:proofErr w:type="spellStart"/>
      <w:r>
        <w:rPr>
          <w:lang w:val="en-US"/>
        </w:rPr>
        <w:t>Jogok</w:t>
      </w:r>
      <w:proofErr w:type="spellEnd"/>
      <w:r>
        <w:rPr>
          <w:lang w:val="en-US"/>
        </w:rPr>
        <w:t xml:space="preserve"> </w:t>
      </w:r>
      <w:proofErr w:type="spellStart"/>
      <w:r>
        <w:rPr>
          <w:lang w:val="en-US"/>
        </w:rPr>
        <w:t>Európai</w:t>
      </w:r>
      <w:proofErr w:type="spellEnd"/>
      <w:r>
        <w:rPr>
          <w:lang w:val="en-US"/>
        </w:rPr>
        <w:t xml:space="preserve"> </w:t>
      </w:r>
      <w:proofErr w:type="spellStart"/>
      <w:r>
        <w:rPr>
          <w:lang w:val="en-US"/>
        </w:rPr>
        <w:t>Egyezménye</w:t>
      </w:r>
      <w:proofErr w:type="spellEnd"/>
      <w:r>
        <w:rPr>
          <w:lang w:val="en-US"/>
        </w:rPr>
        <w:t xml:space="preserve"> 9. </w:t>
      </w:r>
      <w:proofErr w:type="spellStart"/>
      <w:r>
        <w:rPr>
          <w:lang w:val="en-US"/>
        </w:rPr>
        <w:t>és</w:t>
      </w:r>
      <w:proofErr w:type="spellEnd"/>
      <w:r>
        <w:rPr>
          <w:lang w:val="en-US"/>
        </w:rPr>
        <w:t xml:space="preserve"> 10.cikke</w:t>
      </w:r>
    </w:p>
  </w:footnote>
  <w:footnote w:id="26">
    <w:p w:rsidR="00146D72" w:rsidRPr="00767004" w:rsidRDefault="00146D72" w:rsidP="006A63ED">
      <w:pPr>
        <w:pStyle w:val="Lbjegyzetszveg"/>
        <w:jc w:val="both"/>
        <w:rPr>
          <w:lang w:val="en-US"/>
        </w:rPr>
      </w:pPr>
      <w:r>
        <w:rPr>
          <w:rStyle w:val="Lbjegyzet-hivatkozs"/>
        </w:rPr>
        <w:footnoteRef/>
      </w:r>
      <w:r>
        <w:rPr>
          <w:lang w:val="en-US"/>
        </w:rPr>
        <w:t xml:space="preserve"> </w:t>
      </w:r>
      <w:proofErr w:type="spellStart"/>
      <w:r>
        <w:rPr>
          <w:lang w:val="en-US"/>
        </w:rPr>
        <w:t>Emberi</w:t>
      </w:r>
      <w:proofErr w:type="spellEnd"/>
      <w:r>
        <w:rPr>
          <w:lang w:val="en-US"/>
        </w:rPr>
        <w:t xml:space="preserve"> </w:t>
      </w:r>
      <w:proofErr w:type="spellStart"/>
      <w:r>
        <w:rPr>
          <w:lang w:val="en-US"/>
        </w:rPr>
        <w:t>Jogok</w:t>
      </w:r>
      <w:proofErr w:type="spellEnd"/>
      <w:r>
        <w:rPr>
          <w:lang w:val="en-US"/>
        </w:rPr>
        <w:t xml:space="preserve"> </w:t>
      </w:r>
      <w:proofErr w:type="spellStart"/>
      <w:r>
        <w:rPr>
          <w:lang w:val="en-US"/>
        </w:rPr>
        <w:t>Európai</w:t>
      </w:r>
      <w:proofErr w:type="spellEnd"/>
      <w:r>
        <w:rPr>
          <w:lang w:val="en-US"/>
        </w:rPr>
        <w:t xml:space="preserve"> </w:t>
      </w:r>
      <w:proofErr w:type="spellStart"/>
      <w:r>
        <w:rPr>
          <w:lang w:val="en-US"/>
        </w:rPr>
        <w:t>Egyezménye</w:t>
      </w:r>
      <w:proofErr w:type="spellEnd"/>
      <w:r>
        <w:rPr>
          <w:lang w:val="en-US"/>
        </w:rPr>
        <w:t xml:space="preserve"> 14. </w:t>
      </w:r>
      <w:proofErr w:type="spellStart"/>
      <w:r>
        <w:rPr>
          <w:lang w:val="en-US"/>
        </w:rPr>
        <w:t>cikke</w:t>
      </w:r>
      <w:proofErr w:type="spellEnd"/>
    </w:p>
  </w:footnote>
  <w:footnote w:id="27">
    <w:p w:rsidR="00146D72" w:rsidRPr="00767004" w:rsidRDefault="00146D72" w:rsidP="006A63ED">
      <w:pPr>
        <w:pStyle w:val="Lbjegyzetszveg"/>
        <w:jc w:val="both"/>
        <w:rPr>
          <w:lang w:val="en-US"/>
        </w:rPr>
      </w:pPr>
      <w:r>
        <w:rPr>
          <w:rStyle w:val="Lbjegyzet-hivatkozs"/>
        </w:rPr>
        <w:footnoteRef/>
      </w:r>
      <w:proofErr w:type="spellStart"/>
      <w:r>
        <w:rPr>
          <w:lang w:val="en-US"/>
        </w:rPr>
        <w:t>Emberi</w:t>
      </w:r>
      <w:proofErr w:type="spellEnd"/>
      <w:r>
        <w:rPr>
          <w:lang w:val="en-US"/>
        </w:rPr>
        <w:t xml:space="preserve"> </w:t>
      </w:r>
      <w:proofErr w:type="spellStart"/>
      <w:r>
        <w:rPr>
          <w:lang w:val="en-US"/>
        </w:rPr>
        <w:t>Jogok</w:t>
      </w:r>
      <w:proofErr w:type="spellEnd"/>
      <w:r>
        <w:rPr>
          <w:lang w:val="en-US"/>
        </w:rPr>
        <w:t xml:space="preserve"> </w:t>
      </w:r>
      <w:proofErr w:type="spellStart"/>
      <w:r>
        <w:rPr>
          <w:lang w:val="en-US"/>
        </w:rPr>
        <w:t>Egyetemes</w:t>
      </w:r>
      <w:proofErr w:type="spellEnd"/>
      <w:r>
        <w:rPr>
          <w:lang w:val="en-US"/>
        </w:rPr>
        <w:t xml:space="preserve"> </w:t>
      </w:r>
      <w:proofErr w:type="spellStart"/>
      <w:r>
        <w:rPr>
          <w:lang w:val="en-US"/>
        </w:rPr>
        <w:t>Nyilatkozata</w:t>
      </w:r>
      <w:proofErr w:type="spellEnd"/>
      <w:r>
        <w:rPr>
          <w:lang w:val="en-US"/>
        </w:rPr>
        <w:t xml:space="preserve"> 2. </w:t>
      </w:r>
      <w:proofErr w:type="spellStart"/>
      <w:r>
        <w:rPr>
          <w:lang w:val="en-US"/>
        </w:rPr>
        <w:t>cikk</w:t>
      </w:r>
      <w:proofErr w:type="spellEnd"/>
    </w:p>
  </w:footnote>
  <w:footnote w:id="28">
    <w:p w:rsidR="00146D72" w:rsidRPr="009F0F65" w:rsidRDefault="00146D72" w:rsidP="006A63ED">
      <w:pPr>
        <w:pStyle w:val="Lbjegyzetszveg"/>
        <w:jc w:val="both"/>
        <w:rPr>
          <w:lang w:val="en-US"/>
        </w:rPr>
      </w:pPr>
      <w:r>
        <w:rPr>
          <w:rStyle w:val="Lbjegyzet-hivatkozs"/>
        </w:rPr>
        <w:footnoteRef/>
      </w:r>
      <w:r w:rsidRPr="00585D2D">
        <w:rPr>
          <w:i/>
          <w:iCs/>
          <w:lang w:val="en-US"/>
        </w:rPr>
        <w:t xml:space="preserve">ODIHR, (2009), </w:t>
      </w:r>
      <w:proofErr w:type="spellStart"/>
      <w:r>
        <w:rPr>
          <w:i/>
          <w:iCs/>
          <w:lang w:val="en-US"/>
        </w:rPr>
        <w:t>i.m</w:t>
      </w:r>
      <w:proofErr w:type="spellEnd"/>
      <w:r w:rsidRPr="00585D2D">
        <w:rPr>
          <w:i/>
          <w:iCs/>
          <w:lang w:val="en-US"/>
        </w:rPr>
        <w:t>.</w:t>
      </w:r>
      <w:r>
        <w:rPr>
          <w:i/>
          <w:iCs/>
          <w:lang w:val="en-US"/>
        </w:rPr>
        <w:t xml:space="preserve">, </w:t>
      </w:r>
      <w:r w:rsidRPr="009F0F65">
        <w:rPr>
          <w:lang w:val="en-US"/>
        </w:rPr>
        <w:t>p</w:t>
      </w:r>
      <w:r>
        <w:rPr>
          <w:lang w:val="en-US"/>
        </w:rPr>
        <w:t>.19</w:t>
      </w:r>
    </w:p>
  </w:footnote>
  <w:footnote w:id="29">
    <w:p w:rsidR="00146D72" w:rsidRPr="001D4BA7" w:rsidRDefault="00146D72" w:rsidP="006A63ED">
      <w:pPr>
        <w:pStyle w:val="Lbjegyzetszveg"/>
        <w:jc w:val="both"/>
        <w:rPr>
          <w:lang w:val="en-US"/>
        </w:rPr>
      </w:pPr>
      <w:r>
        <w:rPr>
          <w:rStyle w:val="Lbjegyzet-hivatkozs"/>
        </w:rPr>
        <w:footnoteRef/>
      </w:r>
      <w:r>
        <w:rPr>
          <w:lang w:val="en-US"/>
        </w:rPr>
        <w:t xml:space="preserve">ODIHR, (n/a/), </w:t>
      </w:r>
      <w:r w:rsidRPr="001D4BA7">
        <w:rPr>
          <w:i/>
          <w:lang w:val="en-US"/>
        </w:rPr>
        <w:t>What is hate crime</w:t>
      </w:r>
      <w:r>
        <w:rPr>
          <w:lang w:val="en-US"/>
        </w:rPr>
        <w:t xml:space="preserve">, </w:t>
      </w:r>
      <w:proofErr w:type="spellStart"/>
      <w:r>
        <w:rPr>
          <w:lang w:val="en-US"/>
        </w:rPr>
        <w:t>elérhető</w:t>
      </w:r>
      <w:proofErr w:type="spellEnd"/>
      <w:r>
        <w:rPr>
          <w:lang w:val="en-US"/>
        </w:rPr>
        <w:t xml:space="preserve">: </w:t>
      </w:r>
      <w:hyperlink r:id="rId12" w:history="1">
        <w:r w:rsidRPr="00DD08CB">
          <w:rPr>
            <w:rStyle w:val="Hiperhivatkozs"/>
            <w:lang w:val="en-US"/>
          </w:rPr>
          <w:t>http://hatecrime.osce.org/what-hate-crime</w:t>
        </w:r>
      </w:hyperlink>
    </w:p>
  </w:footnote>
  <w:footnote w:id="30">
    <w:p w:rsidR="00146D72" w:rsidRPr="00244BFF" w:rsidRDefault="00146D72" w:rsidP="006A63ED">
      <w:pPr>
        <w:pStyle w:val="Lbjegyzetszveg"/>
        <w:jc w:val="both"/>
        <w:rPr>
          <w:lang w:val="en-US"/>
        </w:rPr>
      </w:pPr>
      <w:r>
        <w:rPr>
          <w:rStyle w:val="Lbjegyzet-hivatkozs"/>
        </w:rPr>
        <w:footnoteRef/>
      </w:r>
      <w:proofErr w:type="gramStart"/>
      <w:r>
        <w:rPr>
          <w:lang w:val="en-US"/>
        </w:rPr>
        <w:t xml:space="preserve">ODIHR, (2010), </w:t>
      </w:r>
      <w:proofErr w:type="spellStart"/>
      <w:r>
        <w:rPr>
          <w:lang w:val="en-US"/>
        </w:rPr>
        <w:t>i.m</w:t>
      </w:r>
      <w:proofErr w:type="spellEnd"/>
      <w:r>
        <w:rPr>
          <w:lang w:val="en-US"/>
        </w:rPr>
        <w:t>.</w:t>
      </w:r>
      <w:proofErr w:type="gramEnd"/>
    </w:p>
  </w:footnote>
  <w:footnote w:id="31">
    <w:p w:rsidR="00146D72" w:rsidRPr="00B21CE0" w:rsidRDefault="00146D72" w:rsidP="006A63ED">
      <w:pPr>
        <w:pStyle w:val="Lbjegyzetszveg"/>
        <w:jc w:val="both"/>
        <w:rPr>
          <w:lang w:val="en-US"/>
        </w:rPr>
      </w:pPr>
      <w:r>
        <w:rPr>
          <w:rStyle w:val="Lbjegyzet-hivatkozs"/>
        </w:rPr>
        <w:footnoteRef/>
      </w:r>
      <w:r>
        <w:rPr>
          <w:lang w:val="en-GB"/>
        </w:rPr>
        <w:t xml:space="preserve">ODIHR, (2014), </w:t>
      </w:r>
      <w:r w:rsidRPr="00585D2D">
        <w:rPr>
          <w:i/>
          <w:lang w:val="en-US"/>
        </w:rPr>
        <w:t>Prosecuting Hate Crimes: A Practical Guide</w:t>
      </w:r>
      <w:r>
        <w:rPr>
          <w:lang w:val="en-US"/>
        </w:rPr>
        <w:t xml:space="preserve">, </w:t>
      </w:r>
      <w:proofErr w:type="spellStart"/>
      <w:r>
        <w:rPr>
          <w:lang w:val="en-US"/>
        </w:rPr>
        <w:t>elérhető</w:t>
      </w:r>
      <w:proofErr w:type="spellEnd"/>
      <w:r>
        <w:rPr>
          <w:lang w:val="en-US"/>
        </w:rPr>
        <w:t xml:space="preserve">: </w:t>
      </w:r>
      <w:hyperlink r:id="rId13" w:history="1">
        <w:r w:rsidRPr="00AB3C58">
          <w:rPr>
            <w:rStyle w:val="Hiperhivatkozs"/>
            <w:lang w:val="en-US"/>
          </w:rPr>
          <w:t>http://www.osce.org/odihr/prosecutorsguide?download=true</w:t>
        </w:r>
      </w:hyperlink>
      <w:r>
        <w:rPr>
          <w:lang w:val="en-US"/>
        </w:rPr>
        <w:t>, p.15</w:t>
      </w:r>
    </w:p>
  </w:footnote>
  <w:footnote w:id="32">
    <w:p w:rsidR="00146D72" w:rsidRPr="00585D2D" w:rsidRDefault="00146D72" w:rsidP="006A63ED">
      <w:pPr>
        <w:pStyle w:val="Lbjegyzetszveg"/>
        <w:jc w:val="both"/>
        <w:rPr>
          <w:lang w:val="en-GB"/>
        </w:rPr>
      </w:pPr>
      <w:r>
        <w:rPr>
          <w:rStyle w:val="Lbjegyzet-hivatkozs"/>
        </w:rPr>
        <w:footnoteRef/>
      </w:r>
      <w:r w:rsidRPr="00585D2D">
        <w:rPr>
          <w:lang w:val="en-GB"/>
        </w:rPr>
        <w:t xml:space="preserve"> </w:t>
      </w:r>
      <w:proofErr w:type="gramStart"/>
      <w:r w:rsidRPr="00585D2D">
        <w:rPr>
          <w:lang w:val="en-GB"/>
        </w:rPr>
        <w:t>INHS (International Network for Hate Studies), (2016),</w:t>
      </w:r>
      <w:r>
        <w:rPr>
          <w:lang w:val="en-GB"/>
        </w:rPr>
        <w:t xml:space="preserve"> </w:t>
      </w:r>
      <w:proofErr w:type="spellStart"/>
      <w:r>
        <w:rPr>
          <w:lang w:val="en-GB"/>
        </w:rPr>
        <w:t>i.m</w:t>
      </w:r>
      <w:proofErr w:type="spellEnd"/>
      <w:r>
        <w:rPr>
          <w:lang w:val="en-GB"/>
        </w:rPr>
        <w:t>.</w:t>
      </w:r>
      <w:proofErr w:type="gramEnd"/>
    </w:p>
  </w:footnote>
  <w:footnote w:id="33">
    <w:p w:rsidR="00146D72" w:rsidRPr="00585D2D" w:rsidRDefault="00146D72" w:rsidP="006A63ED">
      <w:pPr>
        <w:pStyle w:val="Lbjegyzetszveg"/>
        <w:jc w:val="both"/>
        <w:rPr>
          <w:lang w:val="en-US"/>
        </w:rPr>
      </w:pPr>
      <w:r w:rsidRPr="00585D2D">
        <w:rPr>
          <w:vertAlign w:val="superscript"/>
        </w:rPr>
        <w:footnoteRef/>
      </w:r>
      <w:r w:rsidRPr="00585D2D">
        <w:rPr>
          <w:lang w:val="en-US"/>
        </w:rPr>
        <w:t>ECHR</w:t>
      </w:r>
      <w:r>
        <w:rPr>
          <w:lang w:val="en-US"/>
        </w:rPr>
        <w:t xml:space="preserve"> (European Court of Human Rights)</w:t>
      </w:r>
      <w:r w:rsidRPr="00585D2D">
        <w:rPr>
          <w:lang w:val="en-US"/>
        </w:rPr>
        <w:t>,</w:t>
      </w:r>
      <w:r>
        <w:rPr>
          <w:lang w:val="en-US"/>
        </w:rPr>
        <w:t xml:space="preserve"> (2013),</w:t>
      </w:r>
      <w:r w:rsidRPr="00585D2D">
        <w:rPr>
          <w:i/>
          <w:lang w:val="en-US"/>
        </w:rPr>
        <w:t>Factsheet – Racial Discrimination</w:t>
      </w:r>
      <w:r>
        <w:rPr>
          <w:lang w:val="en-US"/>
        </w:rPr>
        <w:t xml:space="preserve">, </w:t>
      </w:r>
      <w:proofErr w:type="spellStart"/>
      <w:r>
        <w:rPr>
          <w:lang w:val="en-US"/>
        </w:rPr>
        <w:t>elérhető</w:t>
      </w:r>
      <w:proofErr w:type="spellEnd"/>
      <w:r>
        <w:rPr>
          <w:lang w:val="en-US"/>
        </w:rPr>
        <w:t>:</w:t>
      </w:r>
      <w:r w:rsidRPr="00585D2D">
        <w:rPr>
          <w:lang w:val="en-US"/>
        </w:rPr>
        <w:t xml:space="preserve"> </w:t>
      </w:r>
      <w:hyperlink r:id="rId14" w:history="1">
        <w:r w:rsidRPr="00585D2D">
          <w:rPr>
            <w:rStyle w:val="Hiperhivatkozs"/>
            <w:lang w:val="en-US"/>
          </w:rPr>
          <w:t>http://www.echr.coe.int/Documents/FS_Racial_discrimination_ENG.pdf</w:t>
        </w:r>
      </w:hyperlink>
      <w:r>
        <w:rPr>
          <w:lang w:val="en-GB"/>
        </w:rPr>
        <w:t>, p.3</w:t>
      </w:r>
    </w:p>
  </w:footnote>
  <w:footnote w:id="34">
    <w:p w:rsidR="00146D72" w:rsidRPr="000247EB" w:rsidRDefault="00146D72" w:rsidP="006A63ED">
      <w:pPr>
        <w:pStyle w:val="Lbjegyzetszveg"/>
        <w:jc w:val="both"/>
        <w:rPr>
          <w:lang w:val="en-US"/>
        </w:rPr>
      </w:pPr>
      <w:r>
        <w:rPr>
          <w:rStyle w:val="Lbjegyzet-hivatkozs"/>
        </w:rPr>
        <w:footnoteRef/>
      </w:r>
      <w:r>
        <w:rPr>
          <w:lang w:val="en-US"/>
        </w:rPr>
        <w:t xml:space="preserve">FRA (European Union Agency for Fundamental Rights), (2016b), </w:t>
      </w:r>
      <w:r w:rsidRPr="00585D2D">
        <w:rPr>
          <w:i/>
          <w:lang w:val="en-GB"/>
        </w:rPr>
        <w:t>Current migration situation in the EU: hate crime</w:t>
      </w:r>
      <w:r>
        <w:rPr>
          <w:lang w:val="en-US"/>
        </w:rPr>
        <w:t xml:space="preserve">, </w:t>
      </w:r>
      <w:proofErr w:type="spellStart"/>
      <w:r>
        <w:rPr>
          <w:lang w:val="en-US"/>
        </w:rPr>
        <w:t>elérhető</w:t>
      </w:r>
      <w:proofErr w:type="spellEnd"/>
      <w:r>
        <w:rPr>
          <w:lang w:val="en-US"/>
        </w:rPr>
        <w:t xml:space="preserve">: </w:t>
      </w:r>
      <w:hyperlink r:id="rId15" w:history="1">
        <w:r w:rsidRPr="000247EB">
          <w:rPr>
            <w:rStyle w:val="Hiperhivatkozs"/>
            <w:lang w:val="en-US"/>
          </w:rPr>
          <w:t>http://fra.europa.eu/sites/default/files/fra_uploads/fra-2016-november-monthly-focus-hate-crime_en.pdf</w:t>
        </w:r>
      </w:hyperlink>
    </w:p>
  </w:footnote>
  <w:footnote w:id="35">
    <w:p w:rsidR="00146D72" w:rsidRPr="004B40D5" w:rsidRDefault="00146D72" w:rsidP="006A63ED">
      <w:pPr>
        <w:pStyle w:val="Lbjegyzetszveg"/>
        <w:jc w:val="both"/>
        <w:rPr>
          <w:b/>
          <w:bCs/>
          <w:lang w:val="en-GB"/>
        </w:rPr>
      </w:pPr>
      <w:r>
        <w:rPr>
          <w:rStyle w:val="Lbjegyzet-hivatkozs"/>
        </w:rPr>
        <w:footnoteRef/>
      </w:r>
      <w:r>
        <w:rPr>
          <w:lang w:val="en-US"/>
        </w:rPr>
        <w:t xml:space="preserve">For a compendium of practices, see FRA (European Union Agency for Fundamental Rights), (n/a), </w:t>
      </w:r>
      <w:r w:rsidRPr="004B40D5">
        <w:rPr>
          <w:bCs/>
          <w:i/>
          <w:lang w:val="en-GB"/>
        </w:rPr>
        <w:t>Compendium of practices</w:t>
      </w:r>
      <w:r>
        <w:rPr>
          <w:bCs/>
          <w:i/>
          <w:lang w:val="en-GB"/>
        </w:rPr>
        <w:t xml:space="preserve">, </w:t>
      </w:r>
      <w:proofErr w:type="spellStart"/>
      <w:r>
        <w:rPr>
          <w:bCs/>
          <w:lang w:val="en-GB"/>
        </w:rPr>
        <w:t>elérhető</w:t>
      </w:r>
      <w:proofErr w:type="spellEnd"/>
      <w:r>
        <w:rPr>
          <w:bCs/>
          <w:lang w:val="en-GB"/>
        </w:rPr>
        <w:t>:</w:t>
      </w:r>
      <w:hyperlink r:id="rId16" w:history="1">
        <w:r w:rsidRPr="00FF5B61">
          <w:rPr>
            <w:rStyle w:val="Hiperhivatkozs"/>
            <w:lang w:val="en-US"/>
          </w:rPr>
          <w:t>http://fra.europa.eu/en/theme/hate-crime/compendium-practices</w:t>
        </w:r>
      </w:hyperlink>
    </w:p>
  </w:footnote>
  <w:footnote w:id="36">
    <w:p w:rsidR="00146D72" w:rsidRPr="004B40D5" w:rsidRDefault="00146D72" w:rsidP="006A63ED">
      <w:pPr>
        <w:pStyle w:val="Lbjegyzetszveg"/>
        <w:jc w:val="both"/>
        <w:rPr>
          <w:bCs/>
          <w:i/>
          <w:lang w:val="en-GB"/>
        </w:rPr>
      </w:pPr>
      <w:r>
        <w:rPr>
          <w:rStyle w:val="Lbjegyzet-hivatkozs"/>
        </w:rPr>
        <w:footnoteRef/>
      </w:r>
      <w:r>
        <w:rPr>
          <w:lang w:val="en-US"/>
        </w:rPr>
        <w:t xml:space="preserve"> FRA (European Union Agency for Fundamental Rights), (2012), </w:t>
      </w:r>
      <w:r w:rsidRPr="004B40D5">
        <w:rPr>
          <w:bCs/>
          <w:i/>
          <w:lang w:val="en-GB"/>
        </w:rPr>
        <w:t>Hate crime in the European Union</w:t>
      </w:r>
      <w:r>
        <w:rPr>
          <w:bCs/>
          <w:i/>
          <w:lang w:val="en-GB"/>
        </w:rPr>
        <w:t xml:space="preserve">, </w:t>
      </w:r>
      <w:proofErr w:type="spellStart"/>
      <w:r>
        <w:rPr>
          <w:bCs/>
          <w:lang w:val="en-GB"/>
        </w:rPr>
        <w:t>elérhető</w:t>
      </w:r>
      <w:proofErr w:type="spellEnd"/>
      <w:r>
        <w:rPr>
          <w:bCs/>
          <w:i/>
          <w:lang w:val="en-GB"/>
        </w:rPr>
        <w:t xml:space="preserve">: </w:t>
      </w:r>
      <w:hyperlink r:id="rId17" w:history="1">
        <w:r w:rsidRPr="00AA1641">
          <w:rPr>
            <w:rStyle w:val="Hiperhivatkozs"/>
            <w:lang w:val="en-US"/>
          </w:rPr>
          <w:t>http://fra.europa.eu/en/publication/2012/hate-crime-european-union</w:t>
        </w:r>
      </w:hyperlink>
    </w:p>
  </w:footnote>
  <w:footnote w:id="37">
    <w:p w:rsidR="00146D72" w:rsidRPr="00660887" w:rsidRDefault="00146D72" w:rsidP="006A63ED">
      <w:pPr>
        <w:pStyle w:val="Lbjegyzetszveg"/>
        <w:jc w:val="both"/>
      </w:pPr>
      <w:r w:rsidRPr="00660887">
        <w:rPr>
          <w:rStyle w:val="Lbjegyzet-hivatkozs"/>
        </w:rPr>
        <w:footnoteRef/>
      </w:r>
      <w:r w:rsidRPr="00660887">
        <w:t xml:space="preserve"> Interaktív térkép található a </w:t>
      </w:r>
      <w:hyperlink r:id="rId18" w:history="1">
        <w:r w:rsidRPr="00660887">
          <w:rPr>
            <w:rStyle w:val="Hiperhivatkozs"/>
          </w:rPr>
          <w:t>http://indicators.ohchr.org/</w:t>
        </w:r>
      </w:hyperlink>
      <w:r w:rsidRPr="00660887">
        <w:t xml:space="preserve"> honlapon. a Polgári és Politikai Jogok Nemzetközi Egyezségokmánya Első Fakultatív Jegyzőkönyve, Kínzás Elleni Egyezmény és a Nemzetközi Egyezmény a Faji Megkülönböztetés Valamennyi Formájának </w:t>
      </w:r>
      <w:proofErr w:type="gramStart"/>
      <w:r w:rsidRPr="00660887">
        <w:t>Kiküszöböléséről szerinti</w:t>
      </w:r>
      <w:proofErr w:type="gramEnd"/>
      <w:r w:rsidRPr="00660887">
        <w:t xml:space="preserve"> megkeresésekre s</w:t>
      </w:r>
      <w:r>
        <w:t>zo</w:t>
      </w:r>
      <w:r w:rsidRPr="00660887">
        <w:t xml:space="preserve">lgáló panaszminta az alábbi linken található: </w:t>
      </w:r>
    </w:p>
    <w:p w:rsidR="00146D72" w:rsidRPr="00E5382A" w:rsidRDefault="00B40D80" w:rsidP="006A63ED">
      <w:pPr>
        <w:pStyle w:val="Lbjegyzetszveg"/>
        <w:jc w:val="both"/>
        <w:rPr>
          <w:lang w:val="en-US"/>
        </w:rPr>
      </w:pPr>
      <w:hyperlink r:id="rId19" w:history="1">
        <w:r w:rsidR="00146D72" w:rsidRPr="00861099">
          <w:rPr>
            <w:rStyle w:val="Hiperhivatkozs"/>
            <w:lang w:val="en-US"/>
          </w:rPr>
          <w:t>http://www.ohchr.org/EN/HRBodies/CCPR/Pages/CCPRIndex.aspx</w:t>
        </w:r>
      </w:hyperlink>
    </w:p>
  </w:footnote>
  <w:footnote w:id="38">
    <w:p w:rsidR="00146D72" w:rsidRPr="00660887" w:rsidRDefault="00146D72" w:rsidP="00626229">
      <w:pPr>
        <w:pStyle w:val="Lbjegyzetszveg"/>
        <w:jc w:val="both"/>
      </w:pPr>
      <w:r>
        <w:rPr>
          <w:rStyle w:val="Lbjegyzet-hivatkozs"/>
        </w:rPr>
        <w:footnoteRef/>
      </w:r>
      <w:r w:rsidRPr="00660887">
        <w:t xml:space="preserve">Interaktív térkép található a </w:t>
      </w:r>
      <w:hyperlink r:id="rId20" w:history="1">
        <w:r w:rsidRPr="00660887">
          <w:rPr>
            <w:rStyle w:val="Hiperhivatkozs"/>
          </w:rPr>
          <w:t>http://indicators.ohchr.org/</w:t>
        </w:r>
      </w:hyperlink>
      <w:r w:rsidRPr="00660887">
        <w:t xml:space="preserve"> honlapon. a Polgári és Politikai Jogok Nemzetközi Egyezségokmánya Első Fakultatív Jegyzőkönyve, Kínzás Elleni Egyezmény és a Nemzetközi Egyezmény a Faji Megkülönböztetés Valamennyi Formájának </w:t>
      </w:r>
      <w:proofErr w:type="gramStart"/>
      <w:r w:rsidRPr="00660887">
        <w:t>Kiküszöböléséről szerinti</w:t>
      </w:r>
      <w:proofErr w:type="gramEnd"/>
      <w:r w:rsidRPr="00660887">
        <w:t xml:space="preserve"> megkeresésekre s</w:t>
      </w:r>
      <w:r>
        <w:t>zo</w:t>
      </w:r>
      <w:r w:rsidRPr="00660887">
        <w:t xml:space="preserve">lgáló panaszminta az alábbi linken található: </w:t>
      </w:r>
    </w:p>
    <w:p w:rsidR="00146D72" w:rsidRPr="00E5382A" w:rsidRDefault="00B40D80" w:rsidP="00626229">
      <w:pPr>
        <w:pStyle w:val="Lbjegyzetszveg"/>
        <w:jc w:val="both"/>
        <w:rPr>
          <w:lang w:val="en-US"/>
        </w:rPr>
      </w:pPr>
      <w:hyperlink r:id="rId21" w:history="1">
        <w:r w:rsidR="00146D72" w:rsidRPr="00861099">
          <w:rPr>
            <w:rStyle w:val="Hiperhivatkozs"/>
            <w:lang w:val="en-US"/>
          </w:rPr>
          <w:t>http://www.ohchr.org/EN/HRBodies/CCPR/Pages/CCPRIndex.aspx</w:t>
        </w:r>
      </w:hyperlink>
    </w:p>
  </w:footnote>
  <w:footnote w:id="39">
    <w:p w:rsidR="00146D72" w:rsidRPr="000D17D2" w:rsidRDefault="00146D72" w:rsidP="00A54DB6">
      <w:pPr>
        <w:pStyle w:val="Lbjegyzetszveg"/>
        <w:jc w:val="both"/>
        <w:rPr>
          <w:bCs/>
          <w:lang w:val="en-US"/>
        </w:rPr>
      </w:pPr>
      <w:r>
        <w:rPr>
          <w:rStyle w:val="Lbjegyzet-hivatkozs"/>
        </w:rPr>
        <w:footnoteRef/>
      </w:r>
      <w:proofErr w:type="spellStart"/>
      <w:r>
        <w:rPr>
          <w:bCs/>
          <w:lang w:val="en-US"/>
        </w:rPr>
        <w:t>Lásd</w:t>
      </w:r>
      <w:proofErr w:type="spellEnd"/>
      <w:r>
        <w:rPr>
          <w:bCs/>
          <w:lang w:val="en-US"/>
        </w:rPr>
        <w:t xml:space="preserve"> </w:t>
      </w:r>
      <w:proofErr w:type="spellStart"/>
      <w:r>
        <w:rPr>
          <w:bCs/>
          <w:lang w:val="en-US"/>
        </w:rPr>
        <w:t>még</w:t>
      </w:r>
      <w:proofErr w:type="spellEnd"/>
      <w:r w:rsidRPr="000D17D2">
        <w:rPr>
          <w:bCs/>
          <w:lang w:val="en-US"/>
        </w:rPr>
        <w:t xml:space="preserve"> Amnesty International submission to the European Commission and the Council of the European Union on the Framework Decision on racism and xenophobia (Council Framework Decision 2008/913/JHA), Ref: IOR Ref: IOR52/001/2013</w:t>
      </w:r>
      <w:r>
        <w:rPr>
          <w:bCs/>
          <w:lang w:val="en-US"/>
        </w:rPr>
        <w:t>,</w:t>
      </w:r>
      <w:r w:rsidR="004E0F5A">
        <w:rPr>
          <w:bCs/>
          <w:lang w:val="en-US"/>
        </w:rPr>
        <w:t xml:space="preserve"> </w:t>
      </w:r>
      <w:proofErr w:type="spellStart"/>
      <w:r>
        <w:rPr>
          <w:bCs/>
          <w:lang w:val="en-US"/>
        </w:rPr>
        <w:t>elérhető</w:t>
      </w:r>
      <w:proofErr w:type="spellEnd"/>
      <w:r>
        <w:rPr>
          <w:bCs/>
          <w:lang w:val="en-US"/>
        </w:rPr>
        <w:t xml:space="preserve">: </w:t>
      </w:r>
      <w:hyperlink r:id="rId22" w:history="1">
        <w:r w:rsidRPr="0003159F">
          <w:rPr>
            <w:rStyle w:val="Hiperhivatkozs"/>
            <w:lang w:val="en-GB"/>
          </w:rPr>
          <w:t>https://www.amnesty.org/en/documents/IOR52/001/2013/en/</w:t>
        </w:r>
      </w:hyperlink>
    </w:p>
  </w:footnote>
  <w:footnote w:id="40">
    <w:p w:rsidR="00146D72" w:rsidRPr="006F3721" w:rsidRDefault="00146D72" w:rsidP="006A63ED">
      <w:pPr>
        <w:pStyle w:val="Lbjegyzetszveg"/>
        <w:jc w:val="both"/>
        <w:rPr>
          <w:lang w:val="en-US"/>
        </w:rPr>
      </w:pPr>
      <w:r>
        <w:rPr>
          <w:rStyle w:val="Lbjegyzet-hivatkozs"/>
        </w:rPr>
        <w:footnoteRef/>
      </w:r>
      <w:proofErr w:type="spellStart"/>
      <w:r>
        <w:rPr>
          <w:lang w:val="en-GB"/>
        </w:rPr>
        <w:t>Lásd</w:t>
      </w:r>
      <w:proofErr w:type="spellEnd"/>
      <w:r>
        <w:rPr>
          <w:lang w:val="en-GB"/>
        </w:rPr>
        <w:t xml:space="preserve"> </w:t>
      </w:r>
      <w:r w:rsidRPr="006F3721">
        <w:rPr>
          <w:i/>
          <w:lang w:val="en-US"/>
        </w:rPr>
        <w:t>Prosecuting Hate Crimes: A Practical Guide</w:t>
      </w:r>
      <w:r w:rsidRPr="006F3721">
        <w:rPr>
          <w:lang w:val="en-US"/>
        </w:rPr>
        <w:t>, (Warsaw: ODIHR, 2014) p</w:t>
      </w:r>
      <w:r>
        <w:rPr>
          <w:lang w:val="en-US"/>
        </w:rPr>
        <w:t>p.25-29</w:t>
      </w:r>
      <w:r w:rsidRPr="006F3721">
        <w:rPr>
          <w:lang w:val="en-US"/>
        </w:rPr>
        <w:t xml:space="preserve">. </w:t>
      </w:r>
      <w:proofErr w:type="spellStart"/>
      <w:r>
        <w:rPr>
          <w:lang w:val="en-US"/>
        </w:rPr>
        <w:t>Elérhető</w:t>
      </w:r>
      <w:proofErr w:type="spellEnd"/>
      <w:r w:rsidRPr="006F3721">
        <w:rPr>
          <w:lang w:val="en-US"/>
        </w:rPr>
        <w:t xml:space="preserve">: </w:t>
      </w:r>
      <w:hyperlink r:id="rId23" w:history="1">
        <w:r w:rsidRPr="006F3721">
          <w:rPr>
            <w:rStyle w:val="Hiperhivatkozs"/>
            <w:lang w:val="en-US"/>
          </w:rPr>
          <w:t>http://www.osce.org/odihr/prosecutorsguide</w:t>
        </w:r>
      </w:hyperlink>
      <w:r>
        <w:rPr>
          <w:lang w:val="en-US"/>
        </w:rPr>
        <w:t xml:space="preserve">; </w:t>
      </w:r>
      <w:proofErr w:type="spellStart"/>
      <w:r>
        <w:rPr>
          <w:lang w:val="en-US"/>
        </w:rPr>
        <w:t>lásd</w:t>
      </w:r>
      <w:proofErr w:type="spellEnd"/>
      <w:r w:rsidR="004E0F5A">
        <w:rPr>
          <w:lang w:val="en-US"/>
        </w:rPr>
        <w:t xml:space="preserve"> </w:t>
      </w:r>
      <w:proofErr w:type="spellStart"/>
      <w:r>
        <w:rPr>
          <w:lang w:val="en-US"/>
        </w:rPr>
        <w:t>még</w:t>
      </w:r>
      <w:proofErr w:type="spellEnd"/>
      <w:r w:rsidR="004E0F5A">
        <w:rPr>
          <w:lang w:val="en-US"/>
        </w:rPr>
        <w:t xml:space="preserve"> </w:t>
      </w:r>
      <w:proofErr w:type="spellStart"/>
      <w:r>
        <w:rPr>
          <w:lang w:val="en-US"/>
        </w:rPr>
        <w:t>az</w:t>
      </w:r>
      <w:proofErr w:type="spellEnd"/>
      <w:r>
        <w:rPr>
          <w:lang w:val="en-US"/>
        </w:rPr>
        <w:t xml:space="preserve"> EJEB </w:t>
      </w:r>
      <w:r>
        <w:rPr>
          <w:bCs/>
        </w:rPr>
        <w:t xml:space="preserve">által tárgyalt </w:t>
      </w:r>
      <w:proofErr w:type="spellStart"/>
      <w:r w:rsidRPr="006F3721">
        <w:rPr>
          <w:bCs/>
        </w:rPr>
        <w:t>Angelova</w:t>
      </w:r>
      <w:proofErr w:type="spellEnd"/>
      <w:r w:rsidR="004E0F5A">
        <w:rPr>
          <w:bCs/>
        </w:rPr>
        <w:t xml:space="preserve"> </w:t>
      </w:r>
      <w:r>
        <w:rPr>
          <w:bCs/>
        </w:rPr>
        <w:t xml:space="preserve">és </w:t>
      </w:r>
      <w:proofErr w:type="spellStart"/>
      <w:r w:rsidRPr="006F3721">
        <w:rPr>
          <w:bCs/>
        </w:rPr>
        <w:t>Iliev</w:t>
      </w:r>
      <w:proofErr w:type="spellEnd"/>
      <w:r w:rsidR="004E0F5A">
        <w:rPr>
          <w:bCs/>
        </w:rPr>
        <w:t xml:space="preserve"> </w:t>
      </w:r>
      <w:r>
        <w:rPr>
          <w:bCs/>
        </w:rPr>
        <w:t>kontra</w:t>
      </w:r>
      <w:r w:rsidRPr="006F3721">
        <w:rPr>
          <w:bCs/>
        </w:rPr>
        <w:t xml:space="preserve"> Bulg</w:t>
      </w:r>
      <w:r>
        <w:rPr>
          <w:bCs/>
        </w:rPr>
        <w:t>á</w:t>
      </w:r>
      <w:r w:rsidRPr="006F3721">
        <w:rPr>
          <w:bCs/>
        </w:rPr>
        <w:t>ria</w:t>
      </w:r>
      <w:r>
        <w:rPr>
          <w:bCs/>
        </w:rPr>
        <w:t xml:space="preserve"> ügyet, elérhető: </w:t>
      </w:r>
      <w:hyperlink r:id="rId24" w:history="1">
        <w:r w:rsidRPr="0003159F">
          <w:rPr>
            <w:rStyle w:val="Hiperhivatkozs"/>
            <w:bCs/>
          </w:rPr>
          <w:t>http://hrlibrary.umn.edu/research/bulgaria/Angelova_and_Iliev_en1.pdf</w:t>
        </w:r>
      </w:hyperlink>
    </w:p>
  </w:footnote>
  <w:footnote w:id="41">
    <w:p w:rsidR="00146D72" w:rsidRPr="00E5382A" w:rsidRDefault="00146D72" w:rsidP="006A63ED">
      <w:pPr>
        <w:pStyle w:val="Lbjegyzetszveg"/>
        <w:jc w:val="both"/>
        <w:rPr>
          <w:u w:val="single"/>
          <w:lang w:val="en-US"/>
        </w:rPr>
      </w:pPr>
      <w:r>
        <w:rPr>
          <w:rStyle w:val="Lbjegyzet-hivatkozs"/>
        </w:rPr>
        <w:footnoteRef/>
      </w:r>
      <w:proofErr w:type="spellStart"/>
      <w:r>
        <w:rPr>
          <w:lang w:val="en-US"/>
        </w:rPr>
        <w:t>Lásd</w:t>
      </w:r>
      <w:proofErr w:type="spellEnd"/>
      <w:r w:rsidR="004E0F5A">
        <w:rPr>
          <w:lang w:val="en-US"/>
        </w:rPr>
        <w:t xml:space="preserve"> </w:t>
      </w:r>
      <w:proofErr w:type="spellStart"/>
      <w:r>
        <w:rPr>
          <w:lang w:val="en-US"/>
        </w:rPr>
        <w:t>még</w:t>
      </w:r>
      <w:proofErr w:type="spellEnd"/>
      <w:r w:rsidR="004E0F5A">
        <w:rPr>
          <w:lang w:val="en-US"/>
        </w:rPr>
        <w:t xml:space="preserve"> </w:t>
      </w:r>
      <w:r w:rsidRPr="00E5382A">
        <w:rPr>
          <w:b/>
          <w:lang w:val="en-US"/>
        </w:rPr>
        <w:t>Council conclusions on combating hate crime in the European Union,</w:t>
      </w:r>
      <w:r w:rsidRPr="00E5382A">
        <w:rPr>
          <w:lang w:val="en-US"/>
        </w:rPr>
        <w:t xml:space="preserve"> JUSTICE and HOME AFFAIRS Council meeting </w:t>
      </w:r>
      <w:proofErr w:type="spellStart"/>
      <w:r w:rsidRPr="00E5382A">
        <w:rPr>
          <w:lang w:val="en-US"/>
        </w:rPr>
        <w:t>Bruxelles</w:t>
      </w:r>
      <w:proofErr w:type="spellEnd"/>
      <w:r w:rsidRPr="00E5382A">
        <w:rPr>
          <w:lang w:val="en-US"/>
        </w:rPr>
        <w:t>, 5 an</w:t>
      </w:r>
      <w:r>
        <w:rPr>
          <w:lang w:val="en-US"/>
        </w:rPr>
        <w:t xml:space="preserve">d 6 December 2013, </w:t>
      </w:r>
      <w:proofErr w:type="spellStart"/>
      <w:r>
        <w:rPr>
          <w:lang w:val="en-US"/>
        </w:rPr>
        <w:t>elérhető</w:t>
      </w:r>
      <w:proofErr w:type="spellEnd"/>
      <w:r w:rsidRPr="00E5382A">
        <w:rPr>
          <w:lang w:val="en-US"/>
        </w:rPr>
        <w:t xml:space="preserve">: </w:t>
      </w:r>
      <w:hyperlink r:id="rId25" w:history="1">
        <w:r w:rsidRPr="00E5382A">
          <w:rPr>
            <w:rStyle w:val="Hiperhivatkozs"/>
            <w:lang w:val="en-US"/>
          </w:rPr>
          <w:t>http://www.consilium.europa.eu/uedocs/cms_data/docs/pressdata/en/jha/139949.pdf</w:t>
        </w:r>
      </w:hyperlink>
    </w:p>
  </w:footnote>
  <w:footnote w:id="42">
    <w:p w:rsidR="00146D72" w:rsidRPr="00593421" w:rsidRDefault="00146D72" w:rsidP="006A63ED">
      <w:pPr>
        <w:pStyle w:val="Lbjegyzetszveg"/>
        <w:jc w:val="both"/>
        <w:rPr>
          <w:lang w:val="en-GB"/>
        </w:rPr>
      </w:pPr>
      <w:r>
        <w:rPr>
          <w:rStyle w:val="Lbjegyzet-hivatkozs"/>
        </w:rPr>
        <w:footnoteRef/>
      </w:r>
      <w:proofErr w:type="spellStart"/>
      <w:r>
        <w:rPr>
          <w:lang w:val="en-GB"/>
        </w:rPr>
        <w:t>Lásd</w:t>
      </w:r>
      <w:proofErr w:type="spellEnd"/>
      <w:r>
        <w:rPr>
          <w:lang w:val="en-GB"/>
        </w:rPr>
        <w:t xml:space="preserve"> FRA, </w:t>
      </w:r>
      <w:r w:rsidRPr="00593421">
        <w:rPr>
          <w:i/>
          <w:lang w:val="en-GB"/>
        </w:rPr>
        <w:t>Ensuring justice for hate crime victims: professional perspectives</w:t>
      </w:r>
      <w:r>
        <w:rPr>
          <w:lang w:val="en-GB"/>
        </w:rPr>
        <w:t xml:space="preserve">, </w:t>
      </w:r>
      <w:proofErr w:type="spellStart"/>
      <w:r>
        <w:rPr>
          <w:lang w:val="en-GB"/>
        </w:rPr>
        <w:t>elérhető</w:t>
      </w:r>
      <w:proofErr w:type="spellEnd"/>
      <w:r>
        <w:rPr>
          <w:lang w:val="en-GB"/>
        </w:rPr>
        <w:t xml:space="preserve">: </w:t>
      </w:r>
      <w:hyperlink r:id="rId26" w:history="1">
        <w:r w:rsidRPr="00F24C3F">
          <w:rPr>
            <w:rStyle w:val="Hiperhivatkozs"/>
            <w:lang w:val="en-GB"/>
          </w:rPr>
          <w:t>http://fra.europa.eu/en/publication/2016/ensuring-justice-hate-crime-victims-professional-perspectives</w:t>
        </w:r>
      </w:hyperlink>
    </w:p>
  </w:footnote>
  <w:footnote w:id="43">
    <w:p w:rsidR="00146D72" w:rsidRPr="00E5382A" w:rsidRDefault="00146D72" w:rsidP="006A63ED">
      <w:pPr>
        <w:pStyle w:val="Lbjegyzetszveg"/>
        <w:jc w:val="both"/>
        <w:rPr>
          <w:lang w:val="en-US"/>
        </w:rPr>
      </w:pPr>
      <w:r w:rsidRPr="00772D04">
        <w:rPr>
          <w:rStyle w:val="Lbjegyzet-hivatkozs"/>
        </w:rPr>
        <w:footnoteRef/>
      </w:r>
      <w:r w:rsidRPr="00772D04">
        <w:t xml:space="preserve"> Az országok megfigyelése – az ECRI országjelentései az alábbi linken érhetőek el:</w:t>
      </w:r>
      <w:r w:rsidR="004E0F5A">
        <w:t xml:space="preserve"> </w:t>
      </w:r>
      <w:hyperlink r:id="rId27" w:anchor="P11_223" w:history="1">
        <w:r w:rsidRPr="00E5382A">
          <w:rPr>
            <w:rStyle w:val="Hiperhivatkozs"/>
            <w:lang w:val="en-US"/>
          </w:rPr>
          <w:t>http://www.coe.int/t/dghl/monitoring/ecri/library/publications.asp#P11_223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523"/>
    <w:multiLevelType w:val="multilevel"/>
    <w:tmpl w:val="C392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672608"/>
    <w:multiLevelType w:val="multilevel"/>
    <w:tmpl w:val="6F94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7B0603"/>
    <w:multiLevelType w:val="hybridMultilevel"/>
    <w:tmpl w:val="B184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931CD"/>
    <w:multiLevelType w:val="multilevel"/>
    <w:tmpl w:val="91AE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C37316"/>
    <w:multiLevelType w:val="hybridMultilevel"/>
    <w:tmpl w:val="B6AC7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F610CFC"/>
    <w:multiLevelType w:val="multilevel"/>
    <w:tmpl w:val="B5EA6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D53FBE"/>
    <w:multiLevelType w:val="multilevel"/>
    <w:tmpl w:val="3C36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C50694"/>
    <w:multiLevelType w:val="hybridMultilevel"/>
    <w:tmpl w:val="84088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940B16"/>
    <w:multiLevelType w:val="multilevel"/>
    <w:tmpl w:val="0964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BA31A7"/>
    <w:multiLevelType w:val="hybridMultilevel"/>
    <w:tmpl w:val="8DA8F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087D75"/>
    <w:multiLevelType w:val="multilevel"/>
    <w:tmpl w:val="A982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B67F26"/>
    <w:multiLevelType w:val="multilevel"/>
    <w:tmpl w:val="67D6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CF35F4"/>
    <w:multiLevelType w:val="multilevel"/>
    <w:tmpl w:val="FC6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92578C"/>
    <w:multiLevelType w:val="hybridMultilevel"/>
    <w:tmpl w:val="84088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2E4253"/>
    <w:multiLevelType w:val="multilevel"/>
    <w:tmpl w:val="705E4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1E453C"/>
    <w:multiLevelType w:val="multilevel"/>
    <w:tmpl w:val="B3B8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423C51"/>
    <w:multiLevelType w:val="hybridMultilevel"/>
    <w:tmpl w:val="4FAC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E56F57"/>
    <w:multiLevelType w:val="hybridMultilevel"/>
    <w:tmpl w:val="C0BED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C161CC5"/>
    <w:multiLevelType w:val="hybridMultilevel"/>
    <w:tmpl w:val="CF80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0"/>
  </w:num>
  <w:num w:numId="4">
    <w:abstractNumId w:val="13"/>
  </w:num>
  <w:num w:numId="5">
    <w:abstractNumId w:val="3"/>
  </w:num>
  <w:num w:numId="6">
    <w:abstractNumId w:val="6"/>
  </w:num>
  <w:num w:numId="7">
    <w:abstractNumId w:val="15"/>
  </w:num>
  <w:num w:numId="8">
    <w:abstractNumId w:val="8"/>
  </w:num>
  <w:num w:numId="9">
    <w:abstractNumId w:val="14"/>
  </w:num>
  <w:num w:numId="10">
    <w:abstractNumId w:val="7"/>
  </w:num>
  <w:num w:numId="11">
    <w:abstractNumId w:val="9"/>
  </w:num>
  <w:num w:numId="12">
    <w:abstractNumId w:val="18"/>
  </w:num>
  <w:num w:numId="13">
    <w:abstractNumId w:val="4"/>
  </w:num>
  <w:num w:numId="14">
    <w:abstractNumId w:val="16"/>
  </w:num>
  <w:num w:numId="15">
    <w:abstractNumId w:val="2"/>
  </w:num>
  <w:num w:numId="16">
    <w:abstractNumId w:val="1"/>
  </w:num>
  <w:num w:numId="17">
    <w:abstractNumId w:val="1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3A"/>
    <w:rsid w:val="0000075B"/>
    <w:rsid w:val="00012E84"/>
    <w:rsid w:val="00013FEC"/>
    <w:rsid w:val="0001558C"/>
    <w:rsid w:val="000214D2"/>
    <w:rsid w:val="00021EFA"/>
    <w:rsid w:val="00027434"/>
    <w:rsid w:val="00034773"/>
    <w:rsid w:val="000415E8"/>
    <w:rsid w:val="000529F1"/>
    <w:rsid w:val="00063C42"/>
    <w:rsid w:val="00064F9C"/>
    <w:rsid w:val="00070400"/>
    <w:rsid w:val="00071557"/>
    <w:rsid w:val="000752FA"/>
    <w:rsid w:val="00084168"/>
    <w:rsid w:val="00091F15"/>
    <w:rsid w:val="00092011"/>
    <w:rsid w:val="000A6144"/>
    <w:rsid w:val="000B2EF3"/>
    <w:rsid w:val="000B619C"/>
    <w:rsid w:val="000C1762"/>
    <w:rsid w:val="000C29F0"/>
    <w:rsid w:val="000C64AC"/>
    <w:rsid w:val="000D35E4"/>
    <w:rsid w:val="000D40E2"/>
    <w:rsid w:val="000D4FE0"/>
    <w:rsid w:val="000D5E23"/>
    <w:rsid w:val="000E7927"/>
    <w:rsid w:val="000F3C8B"/>
    <w:rsid w:val="00106128"/>
    <w:rsid w:val="0011272E"/>
    <w:rsid w:val="00113F03"/>
    <w:rsid w:val="00115F69"/>
    <w:rsid w:val="001222D6"/>
    <w:rsid w:val="001237B1"/>
    <w:rsid w:val="00126FFB"/>
    <w:rsid w:val="00127C91"/>
    <w:rsid w:val="001361DC"/>
    <w:rsid w:val="001406E9"/>
    <w:rsid w:val="00140723"/>
    <w:rsid w:val="001425CF"/>
    <w:rsid w:val="00146D72"/>
    <w:rsid w:val="00150811"/>
    <w:rsid w:val="00153788"/>
    <w:rsid w:val="00156CE2"/>
    <w:rsid w:val="001619A3"/>
    <w:rsid w:val="001643EB"/>
    <w:rsid w:val="0016628F"/>
    <w:rsid w:val="001666FC"/>
    <w:rsid w:val="00173999"/>
    <w:rsid w:val="001846E0"/>
    <w:rsid w:val="0018554E"/>
    <w:rsid w:val="00187E61"/>
    <w:rsid w:val="001978D6"/>
    <w:rsid w:val="001A6D30"/>
    <w:rsid w:val="001B0532"/>
    <w:rsid w:val="001B2F48"/>
    <w:rsid w:val="001B7952"/>
    <w:rsid w:val="001B7C73"/>
    <w:rsid w:val="001D4B7B"/>
    <w:rsid w:val="001D77E0"/>
    <w:rsid w:val="001E232D"/>
    <w:rsid w:val="001E70B5"/>
    <w:rsid w:val="001F20DB"/>
    <w:rsid w:val="001F550F"/>
    <w:rsid w:val="00202636"/>
    <w:rsid w:val="00204DB2"/>
    <w:rsid w:val="00211607"/>
    <w:rsid w:val="00212077"/>
    <w:rsid w:val="00212E56"/>
    <w:rsid w:val="002164D6"/>
    <w:rsid w:val="00217967"/>
    <w:rsid w:val="00223492"/>
    <w:rsid w:val="00236658"/>
    <w:rsid w:val="00240070"/>
    <w:rsid w:val="002403B1"/>
    <w:rsid w:val="00240D85"/>
    <w:rsid w:val="00242CDD"/>
    <w:rsid w:val="00270ADB"/>
    <w:rsid w:val="002800D4"/>
    <w:rsid w:val="0029049B"/>
    <w:rsid w:val="00297811"/>
    <w:rsid w:val="002A12EF"/>
    <w:rsid w:val="002A16CF"/>
    <w:rsid w:val="002A38C2"/>
    <w:rsid w:val="002B0585"/>
    <w:rsid w:val="002C0140"/>
    <w:rsid w:val="002C6556"/>
    <w:rsid w:val="002C7CA8"/>
    <w:rsid w:val="002E5157"/>
    <w:rsid w:val="002E6850"/>
    <w:rsid w:val="0030148A"/>
    <w:rsid w:val="00323C39"/>
    <w:rsid w:val="00323E90"/>
    <w:rsid w:val="00324C9F"/>
    <w:rsid w:val="00331F7F"/>
    <w:rsid w:val="00335C85"/>
    <w:rsid w:val="00346952"/>
    <w:rsid w:val="0035239E"/>
    <w:rsid w:val="00365486"/>
    <w:rsid w:val="00386BB2"/>
    <w:rsid w:val="00390626"/>
    <w:rsid w:val="003913BD"/>
    <w:rsid w:val="003A7542"/>
    <w:rsid w:val="003B173F"/>
    <w:rsid w:val="003B256E"/>
    <w:rsid w:val="003C24B6"/>
    <w:rsid w:val="003C3647"/>
    <w:rsid w:val="003C6986"/>
    <w:rsid w:val="003D6FB0"/>
    <w:rsid w:val="003E69AE"/>
    <w:rsid w:val="003E6CA5"/>
    <w:rsid w:val="003F135E"/>
    <w:rsid w:val="003F2E6E"/>
    <w:rsid w:val="003F35E3"/>
    <w:rsid w:val="003F6CF5"/>
    <w:rsid w:val="00401E38"/>
    <w:rsid w:val="00404811"/>
    <w:rsid w:val="00413735"/>
    <w:rsid w:val="0041480D"/>
    <w:rsid w:val="00414CF3"/>
    <w:rsid w:val="00421C20"/>
    <w:rsid w:val="00422699"/>
    <w:rsid w:val="00440C6A"/>
    <w:rsid w:val="0044304E"/>
    <w:rsid w:val="004435C2"/>
    <w:rsid w:val="004521C7"/>
    <w:rsid w:val="00453F35"/>
    <w:rsid w:val="00464E45"/>
    <w:rsid w:val="00465D8F"/>
    <w:rsid w:val="00465F73"/>
    <w:rsid w:val="00473DC0"/>
    <w:rsid w:val="0048060F"/>
    <w:rsid w:val="00482D38"/>
    <w:rsid w:val="004A0200"/>
    <w:rsid w:val="004A1ACB"/>
    <w:rsid w:val="004A4209"/>
    <w:rsid w:val="004B248E"/>
    <w:rsid w:val="004B3ECB"/>
    <w:rsid w:val="004B40D5"/>
    <w:rsid w:val="004C2200"/>
    <w:rsid w:val="004D05D0"/>
    <w:rsid w:val="004D371C"/>
    <w:rsid w:val="004D565A"/>
    <w:rsid w:val="004D6C60"/>
    <w:rsid w:val="004E0EA6"/>
    <w:rsid w:val="004E0F5A"/>
    <w:rsid w:val="004E1020"/>
    <w:rsid w:val="004E67BF"/>
    <w:rsid w:val="004F01DC"/>
    <w:rsid w:val="004F3C47"/>
    <w:rsid w:val="004F551E"/>
    <w:rsid w:val="004F5871"/>
    <w:rsid w:val="0050063A"/>
    <w:rsid w:val="0050636B"/>
    <w:rsid w:val="00506977"/>
    <w:rsid w:val="00516239"/>
    <w:rsid w:val="005234AA"/>
    <w:rsid w:val="005334FC"/>
    <w:rsid w:val="005364B3"/>
    <w:rsid w:val="005407D4"/>
    <w:rsid w:val="00542EE6"/>
    <w:rsid w:val="0055174F"/>
    <w:rsid w:val="00553464"/>
    <w:rsid w:val="005546B0"/>
    <w:rsid w:val="00564C19"/>
    <w:rsid w:val="00573DC0"/>
    <w:rsid w:val="00577DF1"/>
    <w:rsid w:val="005853A6"/>
    <w:rsid w:val="00585D2D"/>
    <w:rsid w:val="005878B9"/>
    <w:rsid w:val="00595388"/>
    <w:rsid w:val="005B139E"/>
    <w:rsid w:val="005D0114"/>
    <w:rsid w:val="005D1497"/>
    <w:rsid w:val="005E76EA"/>
    <w:rsid w:val="006069EC"/>
    <w:rsid w:val="00615147"/>
    <w:rsid w:val="00616662"/>
    <w:rsid w:val="00626229"/>
    <w:rsid w:val="006262CC"/>
    <w:rsid w:val="00626C5F"/>
    <w:rsid w:val="00646AB0"/>
    <w:rsid w:val="00653AE5"/>
    <w:rsid w:val="00660887"/>
    <w:rsid w:val="0068331F"/>
    <w:rsid w:val="00683D47"/>
    <w:rsid w:val="00686CF6"/>
    <w:rsid w:val="006902D7"/>
    <w:rsid w:val="00691E16"/>
    <w:rsid w:val="00694130"/>
    <w:rsid w:val="0069710D"/>
    <w:rsid w:val="006A63ED"/>
    <w:rsid w:val="006B177D"/>
    <w:rsid w:val="006B68AE"/>
    <w:rsid w:val="006B76A0"/>
    <w:rsid w:val="006C5E78"/>
    <w:rsid w:val="006D1DDC"/>
    <w:rsid w:val="006D31DF"/>
    <w:rsid w:val="006E48C2"/>
    <w:rsid w:val="006F2820"/>
    <w:rsid w:val="006F37EA"/>
    <w:rsid w:val="006F503B"/>
    <w:rsid w:val="00703C20"/>
    <w:rsid w:val="00712FA6"/>
    <w:rsid w:val="007130AB"/>
    <w:rsid w:val="00724E12"/>
    <w:rsid w:val="00727B13"/>
    <w:rsid w:val="007375D6"/>
    <w:rsid w:val="00751673"/>
    <w:rsid w:val="00756D58"/>
    <w:rsid w:val="00772D04"/>
    <w:rsid w:val="00774801"/>
    <w:rsid w:val="00775B03"/>
    <w:rsid w:val="007761AA"/>
    <w:rsid w:val="00781D10"/>
    <w:rsid w:val="00786395"/>
    <w:rsid w:val="007916E4"/>
    <w:rsid w:val="0079440B"/>
    <w:rsid w:val="007A2D61"/>
    <w:rsid w:val="007A592C"/>
    <w:rsid w:val="007A6428"/>
    <w:rsid w:val="007B0DF0"/>
    <w:rsid w:val="007B513C"/>
    <w:rsid w:val="007B5154"/>
    <w:rsid w:val="007E1485"/>
    <w:rsid w:val="007E3DF7"/>
    <w:rsid w:val="007E69EA"/>
    <w:rsid w:val="007E716F"/>
    <w:rsid w:val="007E734E"/>
    <w:rsid w:val="007F429C"/>
    <w:rsid w:val="00803F9F"/>
    <w:rsid w:val="00807DAF"/>
    <w:rsid w:val="008116A6"/>
    <w:rsid w:val="00817956"/>
    <w:rsid w:val="00825799"/>
    <w:rsid w:val="00825F60"/>
    <w:rsid w:val="00835207"/>
    <w:rsid w:val="008477FC"/>
    <w:rsid w:val="008541CA"/>
    <w:rsid w:val="00856FA4"/>
    <w:rsid w:val="00857625"/>
    <w:rsid w:val="008656F4"/>
    <w:rsid w:val="00870683"/>
    <w:rsid w:val="008730D1"/>
    <w:rsid w:val="00874565"/>
    <w:rsid w:val="00885D56"/>
    <w:rsid w:val="008948A8"/>
    <w:rsid w:val="008953DD"/>
    <w:rsid w:val="008A5719"/>
    <w:rsid w:val="008A7EE4"/>
    <w:rsid w:val="008B4986"/>
    <w:rsid w:val="008B772C"/>
    <w:rsid w:val="008C07F7"/>
    <w:rsid w:val="008C1FB2"/>
    <w:rsid w:val="008D2DB3"/>
    <w:rsid w:val="008D37C2"/>
    <w:rsid w:val="008D76B2"/>
    <w:rsid w:val="008E478C"/>
    <w:rsid w:val="008F1734"/>
    <w:rsid w:val="008F20CE"/>
    <w:rsid w:val="008F5EA7"/>
    <w:rsid w:val="009007AE"/>
    <w:rsid w:val="00900D22"/>
    <w:rsid w:val="00901FA8"/>
    <w:rsid w:val="00903A78"/>
    <w:rsid w:val="00905661"/>
    <w:rsid w:val="00905EEA"/>
    <w:rsid w:val="0090750C"/>
    <w:rsid w:val="00911459"/>
    <w:rsid w:val="0092433B"/>
    <w:rsid w:val="00925EE6"/>
    <w:rsid w:val="0093607E"/>
    <w:rsid w:val="00942220"/>
    <w:rsid w:val="00942CE6"/>
    <w:rsid w:val="009449C4"/>
    <w:rsid w:val="00950831"/>
    <w:rsid w:val="00950897"/>
    <w:rsid w:val="00951EA5"/>
    <w:rsid w:val="009606F9"/>
    <w:rsid w:val="0096272A"/>
    <w:rsid w:val="00966EE8"/>
    <w:rsid w:val="0098336A"/>
    <w:rsid w:val="0099110B"/>
    <w:rsid w:val="0099316A"/>
    <w:rsid w:val="0099411F"/>
    <w:rsid w:val="009964CA"/>
    <w:rsid w:val="009A10DF"/>
    <w:rsid w:val="009A13BA"/>
    <w:rsid w:val="009C4D94"/>
    <w:rsid w:val="009C5A3D"/>
    <w:rsid w:val="009E541E"/>
    <w:rsid w:val="009F0346"/>
    <w:rsid w:val="009F3147"/>
    <w:rsid w:val="00A15260"/>
    <w:rsid w:val="00A15B82"/>
    <w:rsid w:val="00A1790F"/>
    <w:rsid w:val="00A217FD"/>
    <w:rsid w:val="00A25B22"/>
    <w:rsid w:val="00A25D6B"/>
    <w:rsid w:val="00A31483"/>
    <w:rsid w:val="00A34611"/>
    <w:rsid w:val="00A36883"/>
    <w:rsid w:val="00A4119A"/>
    <w:rsid w:val="00A447FB"/>
    <w:rsid w:val="00A47CE9"/>
    <w:rsid w:val="00A5291A"/>
    <w:rsid w:val="00A5365E"/>
    <w:rsid w:val="00A53671"/>
    <w:rsid w:val="00A54DB6"/>
    <w:rsid w:val="00A64593"/>
    <w:rsid w:val="00A65305"/>
    <w:rsid w:val="00A70C6D"/>
    <w:rsid w:val="00A77358"/>
    <w:rsid w:val="00A87978"/>
    <w:rsid w:val="00A87FA1"/>
    <w:rsid w:val="00A9260C"/>
    <w:rsid w:val="00A94522"/>
    <w:rsid w:val="00A96A57"/>
    <w:rsid w:val="00AA0B48"/>
    <w:rsid w:val="00AB0486"/>
    <w:rsid w:val="00AB07DE"/>
    <w:rsid w:val="00AB4B79"/>
    <w:rsid w:val="00AC4366"/>
    <w:rsid w:val="00AC686F"/>
    <w:rsid w:val="00AE5593"/>
    <w:rsid w:val="00AE5ACC"/>
    <w:rsid w:val="00AE6A98"/>
    <w:rsid w:val="00B02D10"/>
    <w:rsid w:val="00B0336C"/>
    <w:rsid w:val="00B05F98"/>
    <w:rsid w:val="00B16253"/>
    <w:rsid w:val="00B16ABA"/>
    <w:rsid w:val="00B173A9"/>
    <w:rsid w:val="00B252B4"/>
    <w:rsid w:val="00B25334"/>
    <w:rsid w:val="00B34A3A"/>
    <w:rsid w:val="00B40D80"/>
    <w:rsid w:val="00B43875"/>
    <w:rsid w:val="00B452BA"/>
    <w:rsid w:val="00B5620A"/>
    <w:rsid w:val="00B756A5"/>
    <w:rsid w:val="00B75D94"/>
    <w:rsid w:val="00B8426B"/>
    <w:rsid w:val="00B916DB"/>
    <w:rsid w:val="00BA1C6F"/>
    <w:rsid w:val="00BB635D"/>
    <w:rsid w:val="00BB7EB3"/>
    <w:rsid w:val="00BC4F9D"/>
    <w:rsid w:val="00BD2A7A"/>
    <w:rsid w:val="00BE304C"/>
    <w:rsid w:val="00BE57A8"/>
    <w:rsid w:val="00BE5ADE"/>
    <w:rsid w:val="00BE7F99"/>
    <w:rsid w:val="00BF7CAD"/>
    <w:rsid w:val="00C00566"/>
    <w:rsid w:val="00C048C0"/>
    <w:rsid w:val="00C07260"/>
    <w:rsid w:val="00C10C04"/>
    <w:rsid w:val="00C11153"/>
    <w:rsid w:val="00C11315"/>
    <w:rsid w:val="00C14FD0"/>
    <w:rsid w:val="00C16412"/>
    <w:rsid w:val="00C176BE"/>
    <w:rsid w:val="00C176DE"/>
    <w:rsid w:val="00C20143"/>
    <w:rsid w:val="00C22EC4"/>
    <w:rsid w:val="00C260F0"/>
    <w:rsid w:val="00C33AB7"/>
    <w:rsid w:val="00C34B5D"/>
    <w:rsid w:val="00C376A7"/>
    <w:rsid w:val="00C37E32"/>
    <w:rsid w:val="00C40C0C"/>
    <w:rsid w:val="00C421F9"/>
    <w:rsid w:val="00C44AE3"/>
    <w:rsid w:val="00C51E42"/>
    <w:rsid w:val="00C65119"/>
    <w:rsid w:val="00C6699C"/>
    <w:rsid w:val="00C75257"/>
    <w:rsid w:val="00C76DF4"/>
    <w:rsid w:val="00C85867"/>
    <w:rsid w:val="00C94705"/>
    <w:rsid w:val="00C955AA"/>
    <w:rsid w:val="00C97987"/>
    <w:rsid w:val="00CA3598"/>
    <w:rsid w:val="00CA6153"/>
    <w:rsid w:val="00CB3A8A"/>
    <w:rsid w:val="00CB5CE6"/>
    <w:rsid w:val="00CB7060"/>
    <w:rsid w:val="00CC67CC"/>
    <w:rsid w:val="00CD080B"/>
    <w:rsid w:val="00CD1184"/>
    <w:rsid w:val="00CD641B"/>
    <w:rsid w:val="00CD7A8D"/>
    <w:rsid w:val="00CE140A"/>
    <w:rsid w:val="00CE3181"/>
    <w:rsid w:val="00CF24F1"/>
    <w:rsid w:val="00CF7AF8"/>
    <w:rsid w:val="00D0218F"/>
    <w:rsid w:val="00D034F7"/>
    <w:rsid w:val="00D147D9"/>
    <w:rsid w:val="00D1567C"/>
    <w:rsid w:val="00D231D8"/>
    <w:rsid w:val="00D25957"/>
    <w:rsid w:val="00D27213"/>
    <w:rsid w:val="00D2793E"/>
    <w:rsid w:val="00D40A31"/>
    <w:rsid w:val="00D44469"/>
    <w:rsid w:val="00D52599"/>
    <w:rsid w:val="00D6192F"/>
    <w:rsid w:val="00D72123"/>
    <w:rsid w:val="00D74959"/>
    <w:rsid w:val="00D8066A"/>
    <w:rsid w:val="00D82DFB"/>
    <w:rsid w:val="00D874B2"/>
    <w:rsid w:val="00D96649"/>
    <w:rsid w:val="00DA5561"/>
    <w:rsid w:val="00DA64A6"/>
    <w:rsid w:val="00DB27C1"/>
    <w:rsid w:val="00DB51BE"/>
    <w:rsid w:val="00DB566C"/>
    <w:rsid w:val="00DC6706"/>
    <w:rsid w:val="00DD01B2"/>
    <w:rsid w:val="00DD0741"/>
    <w:rsid w:val="00DD5F20"/>
    <w:rsid w:val="00DF01EE"/>
    <w:rsid w:val="00E0712A"/>
    <w:rsid w:val="00E1246C"/>
    <w:rsid w:val="00E15EC9"/>
    <w:rsid w:val="00E2086A"/>
    <w:rsid w:val="00E27C6A"/>
    <w:rsid w:val="00E30001"/>
    <w:rsid w:val="00E41B81"/>
    <w:rsid w:val="00E70FC8"/>
    <w:rsid w:val="00E77281"/>
    <w:rsid w:val="00E81AE3"/>
    <w:rsid w:val="00E8592A"/>
    <w:rsid w:val="00E8728A"/>
    <w:rsid w:val="00E87B27"/>
    <w:rsid w:val="00E93A01"/>
    <w:rsid w:val="00EA043D"/>
    <w:rsid w:val="00EA757C"/>
    <w:rsid w:val="00EB3F6B"/>
    <w:rsid w:val="00EB57B4"/>
    <w:rsid w:val="00EC3B5A"/>
    <w:rsid w:val="00EC7EB8"/>
    <w:rsid w:val="00ED33AD"/>
    <w:rsid w:val="00ED45CB"/>
    <w:rsid w:val="00F00883"/>
    <w:rsid w:val="00F031F4"/>
    <w:rsid w:val="00F05209"/>
    <w:rsid w:val="00F11F97"/>
    <w:rsid w:val="00F1231E"/>
    <w:rsid w:val="00F20EBD"/>
    <w:rsid w:val="00F21242"/>
    <w:rsid w:val="00F344B1"/>
    <w:rsid w:val="00F42C1D"/>
    <w:rsid w:val="00F43DAA"/>
    <w:rsid w:val="00F44A58"/>
    <w:rsid w:val="00F52580"/>
    <w:rsid w:val="00F53BB3"/>
    <w:rsid w:val="00F610E7"/>
    <w:rsid w:val="00F61748"/>
    <w:rsid w:val="00F66ABF"/>
    <w:rsid w:val="00F67D7E"/>
    <w:rsid w:val="00F9063A"/>
    <w:rsid w:val="00F91534"/>
    <w:rsid w:val="00F944F7"/>
    <w:rsid w:val="00F95992"/>
    <w:rsid w:val="00F96F17"/>
    <w:rsid w:val="00FA3173"/>
    <w:rsid w:val="00FB2267"/>
    <w:rsid w:val="00FB5AF4"/>
    <w:rsid w:val="00FC0864"/>
    <w:rsid w:val="00FC2018"/>
    <w:rsid w:val="00FC2186"/>
    <w:rsid w:val="00FC276B"/>
    <w:rsid w:val="00FC5E75"/>
    <w:rsid w:val="00FD052B"/>
    <w:rsid w:val="00FD16D5"/>
    <w:rsid w:val="00FE7416"/>
    <w:rsid w:val="00FF0A5B"/>
    <w:rsid w:val="00FF719D"/>
    <w:rsid w:val="00FF7AF2"/>
  </w:rsids>
  <m:mathPr>
    <m:mathFont m:val="Cambria Math"/>
    <m:brkBin m:val="before"/>
    <m:brkBinSub m:val="--"/>
    <m:smallFrac/>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959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F959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F959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unhideWhenUsed/>
    <w:qFormat/>
    <w:rsid w:val="00CA359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3B256E"/>
    <w:pPr>
      <w:spacing w:after="0" w:line="240" w:lineRule="auto"/>
    </w:pPr>
    <w:rPr>
      <w:sz w:val="20"/>
      <w:szCs w:val="20"/>
    </w:rPr>
  </w:style>
  <w:style w:type="character" w:customStyle="1" w:styleId="LbjegyzetszvegChar">
    <w:name w:val="Lábjegyzetszöveg Char"/>
    <w:basedOn w:val="Bekezdsalapbettpusa"/>
    <w:link w:val="Lbjegyzetszveg"/>
    <w:uiPriority w:val="99"/>
    <w:rsid w:val="003B256E"/>
    <w:rPr>
      <w:sz w:val="20"/>
      <w:szCs w:val="20"/>
    </w:rPr>
  </w:style>
  <w:style w:type="character" w:styleId="Lbjegyzet-hivatkozs">
    <w:name w:val="footnote reference"/>
    <w:basedOn w:val="Bekezdsalapbettpusa"/>
    <w:uiPriority w:val="99"/>
    <w:semiHidden/>
    <w:unhideWhenUsed/>
    <w:rsid w:val="003B256E"/>
    <w:rPr>
      <w:vertAlign w:val="superscript"/>
    </w:rPr>
  </w:style>
  <w:style w:type="character" w:styleId="Hiperhivatkozs">
    <w:name w:val="Hyperlink"/>
    <w:basedOn w:val="Bekezdsalapbettpusa"/>
    <w:uiPriority w:val="99"/>
    <w:unhideWhenUsed/>
    <w:rsid w:val="003B256E"/>
    <w:rPr>
      <w:color w:val="0000FF" w:themeColor="hyperlink"/>
      <w:u w:val="single"/>
    </w:rPr>
  </w:style>
  <w:style w:type="paragraph" w:styleId="Buborkszveg">
    <w:name w:val="Balloon Text"/>
    <w:basedOn w:val="Norml"/>
    <w:link w:val="BuborkszvegChar"/>
    <w:uiPriority w:val="99"/>
    <w:semiHidden/>
    <w:unhideWhenUsed/>
    <w:rsid w:val="003B256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B256E"/>
    <w:rPr>
      <w:rFonts w:ascii="Tahoma" w:hAnsi="Tahoma" w:cs="Tahoma"/>
      <w:sz w:val="16"/>
      <w:szCs w:val="16"/>
    </w:rPr>
  </w:style>
  <w:style w:type="character" w:styleId="Mrltotthiperhivatkozs">
    <w:name w:val="FollowedHyperlink"/>
    <w:basedOn w:val="Bekezdsalapbettpusa"/>
    <w:uiPriority w:val="99"/>
    <w:semiHidden/>
    <w:unhideWhenUsed/>
    <w:rsid w:val="003B256E"/>
    <w:rPr>
      <w:color w:val="800080" w:themeColor="followedHyperlink"/>
      <w:u w:val="single"/>
    </w:rPr>
  </w:style>
  <w:style w:type="character" w:styleId="Finomkiemels">
    <w:name w:val="Subtle Emphasis"/>
    <w:basedOn w:val="Bekezdsalapbettpusa"/>
    <w:uiPriority w:val="19"/>
    <w:qFormat/>
    <w:rsid w:val="003B256E"/>
    <w:rPr>
      <w:i/>
      <w:iCs/>
      <w:color w:val="808080" w:themeColor="text1" w:themeTint="7F"/>
    </w:rPr>
  </w:style>
  <w:style w:type="paragraph" w:styleId="Listaszerbekezds">
    <w:name w:val="List Paragraph"/>
    <w:basedOn w:val="Norml"/>
    <w:uiPriority w:val="34"/>
    <w:qFormat/>
    <w:rsid w:val="0079440B"/>
    <w:pPr>
      <w:ind w:left="720"/>
      <w:contextualSpacing/>
    </w:pPr>
  </w:style>
  <w:style w:type="character" w:styleId="Jegyzethivatkozs">
    <w:name w:val="annotation reference"/>
    <w:basedOn w:val="Bekezdsalapbettpusa"/>
    <w:uiPriority w:val="99"/>
    <w:semiHidden/>
    <w:unhideWhenUsed/>
    <w:rsid w:val="0093607E"/>
    <w:rPr>
      <w:sz w:val="16"/>
      <w:szCs w:val="16"/>
    </w:rPr>
  </w:style>
  <w:style w:type="paragraph" w:styleId="Jegyzetszveg">
    <w:name w:val="annotation text"/>
    <w:basedOn w:val="Norml"/>
    <w:link w:val="JegyzetszvegChar"/>
    <w:uiPriority w:val="99"/>
    <w:semiHidden/>
    <w:unhideWhenUsed/>
    <w:rsid w:val="0093607E"/>
    <w:pPr>
      <w:spacing w:line="240" w:lineRule="auto"/>
    </w:pPr>
    <w:rPr>
      <w:sz w:val="20"/>
      <w:szCs w:val="20"/>
    </w:rPr>
  </w:style>
  <w:style w:type="character" w:customStyle="1" w:styleId="JegyzetszvegChar">
    <w:name w:val="Jegyzetszöveg Char"/>
    <w:basedOn w:val="Bekezdsalapbettpusa"/>
    <w:link w:val="Jegyzetszveg"/>
    <w:uiPriority w:val="99"/>
    <w:semiHidden/>
    <w:rsid w:val="0093607E"/>
    <w:rPr>
      <w:sz w:val="20"/>
      <w:szCs w:val="20"/>
    </w:rPr>
  </w:style>
  <w:style w:type="paragraph" w:styleId="Megjegyzstrgya">
    <w:name w:val="annotation subject"/>
    <w:basedOn w:val="Jegyzetszveg"/>
    <w:next w:val="Jegyzetszveg"/>
    <w:link w:val="MegjegyzstrgyaChar"/>
    <w:uiPriority w:val="99"/>
    <w:semiHidden/>
    <w:unhideWhenUsed/>
    <w:rsid w:val="0093607E"/>
    <w:rPr>
      <w:b/>
      <w:bCs/>
    </w:rPr>
  </w:style>
  <w:style w:type="character" w:customStyle="1" w:styleId="MegjegyzstrgyaChar">
    <w:name w:val="Megjegyzés tárgya Char"/>
    <w:basedOn w:val="JegyzetszvegChar"/>
    <w:link w:val="Megjegyzstrgya"/>
    <w:uiPriority w:val="99"/>
    <w:semiHidden/>
    <w:rsid w:val="0093607E"/>
    <w:rPr>
      <w:b/>
      <w:bCs/>
      <w:sz w:val="20"/>
      <w:szCs w:val="20"/>
    </w:rPr>
  </w:style>
  <w:style w:type="table" w:customStyle="1" w:styleId="MediumGrid1-Accent51">
    <w:name w:val="Medium Grid 1 - Accent 51"/>
    <w:basedOn w:val="Normltblzat"/>
    <w:next w:val="Kzepesrcs15jellszn"/>
    <w:uiPriority w:val="67"/>
    <w:rsid w:val="000B619C"/>
    <w:pPr>
      <w:spacing w:after="0" w:line="240" w:lineRule="auto"/>
    </w:pPr>
    <w:rPr>
      <w:sz w:val="24"/>
      <w:szCs w:val="24"/>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cs15jellszn">
    <w:name w:val="Medium Grid 1 Accent 5"/>
    <w:basedOn w:val="Normltblzat"/>
    <w:uiPriority w:val="67"/>
    <w:semiHidden/>
    <w:unhideWhenUsed/>
    <w:rsid w:val="000B619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52">
    <w:name w:val="Medium Grid 1 - Accent 52"/>
    <w:basedOn w:val="Normltblzat"/>
    <w:next w:val="Kzepesrcs15jellszn"/>
    <w:uiPriority w:val="67"/>
    <w:rsid w:val="00BF7CAD"/>
    <w:pPr>
      <w:spacing w:after="0" w:line="240" w:lineRule="auto"/>
    </w:pPr>
    <w:rPr>
      <w:sz w:val="24"/>
      <w:szCs w:val="24"/>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Cmsor1Char">
    <w:name w:val="Címsor 1 Char"/>
    <w:basedOn w:val="Bekezdsalapbettpusa"/>
    <w:link w:val="Cmsor1"/>
    <w:uiPriority w:val="9"/>
    <w:rsid w:val="00F95992"/>
    <w:rPr>
      <w:rFonts w:asciiTheme="majorHAnsi" w:eastAsiaTheme="majorEastAsia" w:hAnsiTheme="majorHAnsi" w:cstheme="majorBidi"/>
      <w:color w:val="365F91" w:themeColor="accent1" w:themeShade="BF"/>
      <w:sz w:val="32"/>
      <w:szCs w:val="32"/>
    </w:rPr>
  </w:style>
  <w:style w:type="paragraph" w:styleId="Tartalomjegyzkcmsora">
    <w:name w:val="TOC Heading"/>
    <w:basedOn w:val="Cmsor1"/>
    <w:next w:val="Norml"/>
    <w:uiPriority w:val="39"/>
    <w:unhideWhenUsed/>
    <w:qFormat/>
    <w:rsid w:val="00F95992"/>
    <w:pPr>
      <w:spacing w:line="259" w:lineRule="auto"/>
      <w:outlineLvl w:val="9"/>
    </w:pPr>
    <w:rPr>
      <w:lang w:val="en-US" w:eastAsia="en-US"/>
    </w:rPr>
  </w:style>
  <w:style w:type="paragraph" w:styleId="TJ2">
    <w:name w:val="toc 2"/>
    <w:basedOn w:val="Norml"/>
    <w:next w:val="Norml"/>
    <w:autoRedefine/>
    <w:uiPriority w:val="39"/>
    <w:unhideWhenUsed/>
    <w:rsid w:val="00F95992"/>
    <w:pPr>
      <w:spacing w:after="100"/>
      <w:ind w:left="220"/>
    </w:pPr>
  </w:style>
  <w:style w:type="character" w:customStyle="1" w:styleId="Cmsor2Char">
    <w:name w:val="Címsor 2 Char"/>
    <w:basedOn w:val="Bekezdsalapbettpusa"/>
    <w:link w:val="Cmsor2"/>
    <w:uiPriority w:val="9"/>
    <w:rsid w:val="00F95992"/>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F95992"/>
    <w:rPr>
      <w:rFonts w:asciiTheme="majorHAnsi" w:eastAsiaTheme="majorEastAsia" w:hAnsiTheme="majorHAnsi" w:cstheme="majorBidi"/>
      <w:color w:val="243F60" w:themeColor="accent1" w:themeShade="7F"/>
      <w:sz w:val="24"/>
      <w:szCs w:val="24"/>
    </w:rPr>
  </w:style>
  <w:style w:type="paragraph" w:styleId="TJ1">
    <w:name w:val="toc 1"/>
    <w:basedOn w:val="Norml"/>
    <w:next w:val="Norml"/>
    <w:autoRedefine/>
    <w:uiPriority w:val="39"/>
    <w:unhideWhenUsed/>
    <w:rsid w:val="00F95992"/>
    <w:pPr>
      <w:spacing w:after="100"/>
    </w:pPr>
  </w:style>
  <w:style w:type="paragraph" w:styleId="TJ3">
    <w:name w:val="toc 3"/>
    <w:basedOn w:val="Norml"/>
    <w:next w:val="Norml"/>
    <w:autoRedefine/>
    <w:uiPriority w:val="39"/>
    <w:unhideWhenUsed/>
    <w:rsid w:val="00F95992"/>
    <w:pPr>
      <w:spacing w:after="100"/>
      <w:ind w:left="440"/>
    </w:pPr>
  </w:style>
  <w:style w:type="character" w:styleId="Ershangslyozs">
    <w:name w:val="Intense Emphasis"/>
    <w:basedOn w:val="Bekezdsalapbettpusa"/>
    <w:uiPriority w:val="21"/>
    <w:qFormat/>
    <w:rsid w:val="004435C2"/>
    <w:rPr>
      <w:b/>
      <w:bCs/>
      <w:i/>
      <w:iCs/>
      <w:color w:val="4F81BD" w:themeColor="accent1"/>
    </w:rPr>
  </w:style>
  <w:style w:type="character" w:customStyle="1" w:styleId="Cmsor4Char">
    <w:name w:val="Címsor 4 Char"/>
    <w:basedOn w:val="Bekezdsalapbettpusa"/>
    <w:link w:val="Cmsor4"/>
    <w:uiPriority w:val="9"/>
    <w:rsid w:val="00CA3598"/>
    <w:rPr>
      <w:rFonts w:asciiTheme="majorHAnsi" w:eastAsiaTheme="majorEastAsia" w:hAnsiTheme="majorHAnsi" w:cstheme="majorBidi"/>
      <w:i/>
      <w:iCs/>
      <w:color w:val="365F91" w:themeColor="accent1" w:themeShade="BF"/>
    </w:rPr>
  </w:style>
  <w:style w:type="table" w:styleId="Vilgoslista2jellszn">
    <w:name w:val="Light List Accent 2"/>
    <w:basedOn w:val="Normltblzat"/>
    <w:uiPriority w:val="61"/>
    <w:rsid w:val="00CA3598"/>
    <w:pPr>
      <w:spacing w:after="0" w:line="240" w:lineRule="auto"/>
    </w:pPr>
    <w:rPr>
      <w:sz w:val="24"/>
      <w:szCs w:val="24"/>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Idzet">
    <w:name w:val="Quote"/>
    <w:basedOn w:val="Norml"/>
    <w:next w:val="Norml"/>
    <w:link w:val="IdzetChar"/>
    <w:uiPriority w:val="29"/>
    <w:qFormat/>
    <w:rsid w:val="00C94705"/>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C94705"/>
    <w:rPr>
      <w:i/>
      <w:iCs/>
      <w:color w:val="404040" w:themeColor="text1" w:themeTint="BF"/>
    </w:rPr>
  </w:style>
  <w:style w:type="paragraph" w:styleId="Nincstrkz">
    <w:name w:val="No Spacing"/>
    <w:link w:val="NincstrkzChar"/>
    <w:uiPriority w:val="1"/>
    <w:qFormat/>
    <w:rsid w:val="00903A78"/>
    <w:pPr>
      <w:spacing w:after="0" w:line="240" w:lineRule="auto"/>
    </w:pPr>
    <w:rPr>
      <w:lang w:val="en-US" w:eastAsia="en-US"/>
    </w:rPr>
  </w:style>
  <w:style w:type="character" w:customStyle="1" w:styleId="NincstrkzChar">
    <w:name w:val="Nincs térköz Char"/>
    <w:basedOn w:val="Bekezdsalapbettpusa"/>
    <w:link w:val="Nincstrkz"/>
    <w:uiPriority w:val="1"/>
    <w:rsid w:val="00903A78"/>
    <w:rPr>
      <w:lang w:val="en-US" w:eastAsia="en-US"/>
    </w:rPr>
  </w:style>
  <w:style w:type="paragraph" w:styleId="NormlWeb">
    <w:name w:val="Normal (Web)"/>
    <w:basedOn w:val="Norml"/>
    <w:uiPriority w:val="99"/>
    <w:unhideWhenUsed/>
    <w:rsid w:val="00962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Bekezdsalapbettpusa"/>
    <w:uiPriority w:val="99"/>
    <w:semiHidden/>
    <w:unhideWhenUsed/>
    <w:rsid w:val="0096272A"/>
    <w:rPr>
      <w:color w:val="808080"/>
      <w:shd w:val="clear" w:color="auto" w:fill="E6E6E6"/>
    </w:rPr>
  </w:style>
  <w:style w:type="paragraph" w:customStyle="1" w:styleId="doc-ti">
    <w:name w:val="doc-ti"/>
    <w:basedOn w:val="Norml"/>
    <w:rsid w:val="003C3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l1">
    <w:name w:val="Normál1"/>
    <w:basedOn w:val="Norml"/>
    <w:rsid w:val="00150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Bekezdsalapbettpusa"/>
    <w:rsid w:val="00150811"/>
  </w:style>
  <w:style w:type="paragraph" w:customStyle="1" w:styleId="s78ef46a2">
    <w:name w:val="s78ef46a2"/>
    <w:basedOn w:val="Norml"/>
    <w:rsid w:val="006F5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34c30d1">
    <w:name w:val="sb34c30d1"/>
    <w:basedOn w:val="Bekezdsalapbettpusa"/>
    <w:rsid w:val="006F5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959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F959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F959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unhideWhenUsed/>
    <w:qFormat/>
    <w:rsid w:val="00CA359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3B256E"/>
    <w:pPr>
      <w:spacing w:after="0" w:line="240" w:lineRule="auto"/>
    </w:pPr>
    <w:rPr>
      <w:sz w:val="20"/>
      <w:szCs w:val="20"/>
    </w:rPr>
  </w:style>
  <w:style w:type="character" w:customStyle="1" w:styleId="LbjegyzetszvegChar">
    <w:name w:val="Lábjegyzetszöveg Char"/>
    <w:basedOn w:val="Bekezdsalapbettpusa"/>
    <w:link w:val="Lbjegyzetszveg"/>
    <w:uiPriority w:val="99"/>
    <w:rsid w:val="003B256E"/>
    <w:rPr>
      <w:sz w:val="20"/>
      <w:szCs w:val="20"/>
    </w:rPr>
  </w:style>
  <w:style w:type="character" w:styleId="Lbjegyzet-hivatkozs">
    <w:name w:val="footnote reference"/>
    <w:basedOn w:val="Bekezdsalapbettpusa"/>
    <w:uiPriority w:val="99"/>
    <w:semiHidden/>
    <w:unhideWhenUsed/>
    <w:rsid w:val="003B256E"/>
    <w:rPr>
      <w:vertAlign w:val="superscript"/>
    </w:rPr>
  </w:style>
  <w:style w:type="character" w:styleId="Hiperhivatkozs">
    <w:name w:val="Hyperlink"/>
    <w:basedOn w:val="Bekezdsalapbettpusa"/>
    <w:uiPriority w:val="99"/>
    <w:unhideWhenUsed/>
    <w:rsid w:val="003B256E"/>
    <w:rPr>
      <w:color w:val="0000FF" w:themeColor="hyperlink"/>
      <w:u w:val="single"/>
    </w:rPr>
  </w:style>
  <w:style w:type="paragraph" w:styleId="Buborkszveg">
    <w:name w:val="Balloon Text"/>
    <w:basedOn w:val="Norml"/>
    <w:link w:val="BuborkszvegChar"/>
    <w:uiPriority w:val="99"/>
    <w:semiHidden/>
    <w:unhideWhenUsed/>
    <w:rsid w:val="003B256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B256E"/>
    <w:rPr>
      <w:rFonts w:ascii="Tahoma" w:hAnsi="Tahoma" w:cs="Tahoma"/>
      <w:sz w:val="16"/>
      <w:szCs w:val="16"/>
    </w:rPr>
  </w:style>
  <w:style w:type="character" w:styleId="Mrltotthiperhivatkozs">
    <w:name w:val="FollowedHyperlink"/>
    <w:basedOn w:val="Bekezdsalapbettpusa"/>
    <w:uiPriority w:val="99"/>
    <w:semiHidden/>
    <w:unhideWhenUsed/>
    <w:rsid w:val="003B256E"/>
    <w:rPr>
      <w:color w:val="800080" w:themeColor="followedHyperlink"/>
      <w:u w:val="single"/>
    </w:rPr>
  </w:style>
  <w:style w:type="character" w:styleId="Finomkiemels">
    <w:name w:val="Subtle Emphasis"/>
    <w:basedOn w:val="Bekezdsalapbettpusa"/>
    <w:uiPriority w:val="19"/>
    <w:qFormat/>
    <w:rsid w:val="003B256E"/>
    <w:rPr>
      <w:i/>
      <w:iCs/>
      <w:color w:val="808080" w:themeColor="text1" w:themeTint="7F"/>
    </w:rPr>
  </w:style>
  <w:style w:type="paragraph" w:styleId="Listaszerbekezds">
    <w:name w:val="List Paragraph"/>
    <w:basedOn w:val="Norml"/>
    <w:uiPriority w:val="34"/>
    <w:qFormat/>
    <w:rsid w:val="0079440B"/>
    <w:pPr>
      <w:ind w:left="720"/>
      <w:contextualSpacing/>
    </w:pPr>
  </w:style>
  <w:style w:type="character" w:styleId="Jegyzethivatkozs">
    <w:name w:val="annotation reference"/>
    <w:basedOn w:val="Bekezdsalapbettpusa"/>
    <w:uiPriority w:val="99"/>
    <w:semiHidden/>
    <w:unhideWhenUsed/>
    <w:rsid w:val="0093607E"/>
    <w:rPr>
      <w:sz w:val="16"/>
      <w:szCs w:val="16"/>
    </w:rPr>
  </w:style>
  <w:style w:type="paragraph" w:styleId="Jegyzetszveg">
    <w:name w:val="annotation text"/>
    <w:basedOn w:val="Norml"/>
    <w:link w:val="JegyzetszvegChar"/>
    <w:uiPriority w:val="99"/>
    <w:semiHidden/>
    <w:unhideWhenUsed/>
    <w:rsid w:val="0093607E"/>
    <w:pPr>
      <w:spacing w:line="240" w:lineRule="auto"/>
    </w:pPr>
    <w:rPr>
      <w:sz w:val="20"/>
      <w:szCs w:val="20"/>
    </w:rPr>
  </w:style>
  <w:style w:type="character" w:customStyle="1" w:styleId="JegyzetszvegChar">
    <w:name w:val="Jegyzetszöveg Char"/>
    <w:basedOn w:val="Bekezdsalapbettpusa"/>
    <w:link w:val="Jegyzetszveg"/>
    <w:uiPriority w:val="99"/>
    <w:semiHidden/>
    <w:rsid w:val="0093607E"/>
    <w:rPr>
      <w:sz w:val="20"/>
      <w:szCs w:val="20"/>
    </w:rPr>
  </w:style>
  <w:style w:type="paragraph" w:styleId="Megjegyzstrgya">
    <w:name w:val="annotation subject"/>
    <w:basedOn w:val="Jegyzetszveg"/>
    <w:next w:val="Jegyzetszveg"/>
    <w:link w:val="MegjegyzstrgyaChar"/>
    <w:uiPriority w:val="99"/>
    <w:semiHidden/>
    <w:unhideWhenUsed/>
    <w:rsid w:val="0093607E"/>
    <w:rPr>
      <w:b/>
      <w:bCs/>
    </w:rPr>
  </w:style>
  <w:style w:type="character" w:customStyle="1" w:styleId="MegjegyzstrgyaChar">
    <w:name w:val="Megjegyzés tárgya Char"/>
    <w:basedOn w:val="JegyzetszvegChar"/>
    <w:link w:val="Megjegyzstrgya"/>
    <w:uiPriority w:val="99"/>
    <w:semiHidden/>
    <w:rsid w:val="0093607E"/>
    <w:rPr>
      <w:b/>
      <w:bCs/>
      <w:sz w:val="20"/>
      <w:szCs w:val="20"/>
    </w:rPr>
  </w:style>
  <w:style w:type="table" w:customStyle="1" w:styleId="MediumGrid1-Accent51">
    <w:name w:val="Medium Grid 1 - Accent 51"/>
    <w:basedOn w:val="Normltblzat"/>
    <w:next w:val="Kzepesrcs15jellszn"/>
    <w:uiPriority w:val="67"/>
    <w:rsid w:val="000B619C"/>
    <w:pPr>
      <w:spacing w:after="0" w:line="240" w:lineRule="auto"/>
    </w:pPr>
    <w:rPr>
      <w:sz w:val="24"/>
      <w:szCs w:val="24"/>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cs15jellszn">
    <w:name w:val="Medium Grid 1 Accent 5"/>
    <w:basedOn w:val="Normltblzat"/>
    <w:uiPriority w:val="67"/>
    <w:semiHidden/>
    <w:unhideWhenUsed/>
    <w:rsid w:val="000B619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52">
    <w:name w:val="Medium Grid 1 - Accent 52"/>
    <w:basedOn w:val="Normltblzat"/>
    <w:next w:val="Kzepesrcs15jellszn"/>
    <w:uiPriority w:val="67"/>
    <w:rsid w:val="00BF7CAD"/>
    <w:pPr>
      <w:spacing w:after="0" w:line="240" w:lineRule="auto"/>
    </w:pPr>
    <w:rPr>
      <w:sz w:val="24"/>
      <w:szCs w:val="24"/>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Cmsor1Char">
    <w:name w:val="Címsor 1 Char"/>
    <w:basedOn w:val="Bekezdsalapbettpusa"/>
    <w:link w:val="Cmsor1"/>
    <w:uiPriority w:val="9"/>
    <w:rsid w:val="00F95992"/>
    <w:rPr>
      <w:rFonts w:asciiTheme="majorHAnsi" w:eastAsiaTheme="majorEastAsia" w:hAnsiTheme="majorHAnsi" w:cstheme="majorBidi"/>
      <w:color w:val="365F91" w:themeColor="accent1" w:themeShade="BF"/>
      <w:sz w:val="32"/>
      <w:szCs w:val="32"/>
    </w:rPr>
  </w:style>
  <w:style w:type="paragraph" w:styleId="Tartalomjegyzkcmsora">
    <w:name w:val="TOC Heading"/>
    <w:basedOn w:val="Cmsor1"/>
    <w:next w:val="Norml"/>
    <w:uiPriority w:val="39"/>
    <w:unhideWhenUsed/>
    <w:qFormat/>
    <w:rsid w:val="00F95992"/>
    <w:pPr>
      <w:spacing w:line="259" w:lineRule="auto"/>
      <w:outlineLvl w:val="9"/>
    </w:pPr>
    <w:rPr>
      <w:lang w:val="en-US" w:eastAsia="en-US"/>
    </w:rPr>
  </w:style>
  <w:style w:type="paragraph" w:styleId="TJ2">
    <w:name w:val="toc 2"/>
    <w:basedOn w:val="Norml"/>
    <w:next w:val="Norml"/>
    <w:autoRedefine/>
    <w:uiPriority w:val="39"/>
    <w:unhideWhenUsed/>
    <w:rsid w:val="00F95992"/>
    <w:pPr>
      <w:spacing w:after="100"/>
      <w:ind w:left="220"/>
    </w:pPr>
  </w:style>
  <w:style w:type="character" w:customStyle="1" w:styleId="Cmsor2Char">
    <w:name w:val="Címsor 2 Char"/>
    <w:basedOn w:val="Bekezdsalapbettpusa"/>
    <w:link w:val="Cmsor2"/>
    <w:uiPriority w:val="9"/>
    <w:rsid w:val="00F95992"/>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F95992"/>
    <w:rPr>
      <w:rFonts w:asciiTheme="majorHAnsi" w:eastAsiaTheme="majorEastAsia" w:hAnsiTheme="majorHAnsi" w:cstheme="majorBidi"/>
      <w:color w:val="243F60" w:themeColor="accent1" w:themeShade="7F"/>
      <w:sz w:val="24"/>
      <w:szCs w:val="24"/>
    </w:rPr>
  </w:style>
  <w:style w:type="paragraph" w:styleId="TJ1">
    <w:name w:val="toc 1"/>
    <w:basedOn w:val="Norml"/>
    <w:next w:val="Norml"/>
    <w:autoRedefine/>
    <w:uiPriority w:val="39"/>
    <w:unhideWhenUsed/>
    <w:rsid w:val="00F95992"/>
    <w:pPr>
      <w:spacing w:after="100"/>
    </w:pPr>
  </w:style>
  <w:style w:type="paragraph" w:styleId="TJ3">
    <w:name w:val="toc 3"/>
    <w:basedOn w:val="Norml"/>
    <w:next w:val="Norml"/>
    <w:autoRedefine/>
    <w:uiPriority w:val="39"/>
    <w:unhideWhenUsed/>
    <w:rsid w:val="00F95992"/>
    <w:pPr>
      <w:spacing w:after="100"/>
      <w:ind w:left="440"/>
    </w:pPr>
  </w:style>
  <w:style w:type="character" w:styleId="Ershangslyozs">
    <w:name w:val="Intense Emphasis"/>
    <w:basedOn w:val="Bekezdsalapbettpusa"/>
    <w:uiPriority w:val="21"/>
    <w:qFormat/>
    <w:rsid w:val="004435C2"/>
    <w:rPr>
      <w:b/>
      <w:bCs/>
      <w:i/>
      <w:iCs/>
      <w:color w:val="4F81BD" w:themeColor="accent1"/>
    </w:rPr>
  </w:style>
  <w:style w:type="character" w:customStyle="1" w:styleId="Cmsor4Char">
    <w:name w:val="Címsor 4 Char"/>
    <w:basedOn w:val="Bekezdsalapbettpusa"/>
    <w:link w:val="Cmsor4"/>
    <w:uiPriority w:val="9"/>
    <w:rsid w:val="00CA3598"/>
    <w:rPr>
      <w:rFonts w:asciiTheme="majorHAnsi" w:eastAsiaTheme="majorEastAsia" w:hAnsiTheme="majorHAnsi" w:cstheme="majorBidi"/>
      <w:i/>
      <w:iCs/>
      <w:color w:val="365F91" w:themeColor="accent1" w:themeShade="BF"/>
    </w:rPr>
  </w:style>
  <w:style w:type="table" w:styleId="Vilgoslista2jellszn">
    <w:name w:val="Light List Accent 2"/>
    <w:basedOn w:val="Normltblzat"/>
    <w:uiPriority w:val="61"/>
    <w:rsid w:val="00CA3598"/>
    <w:pPr>
      <w:spacing w:after="0" w:line="240" w:lineRule="auto"/>
    </w:pPr>
    <w:rPr>
      <w:sz w:val="24"/>
      <w:szCs w:val="24"/>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Idzet">
    <w:name w:val="Quote"/>
    <w:basedOn w:val="Norml"/>
    <w:next w:val="Norml"/>
    <w:link w:val="IdzetChar"/>
    <w:uiPriority w:val="29"/>
    <w:qFormat/>
    <w:rsid w:val="00C94705"/>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C94705"/>
    <w:rPr>
      <w:i/>
      <w:iCs/>
      <w:color w:val="404040" w:themeColor="text1" w:themeTint="BF"/>
    </w:rPr>
  </w:style>
  <w:style w:type="paragraph" w:styleId="Nincstrkz">
    <w:name w:val="No Spacing"/>
    <w:link w:val="NincstrkzChar"/>
    <w:uiPriority w:val="1"/>
    <w:qFormat/>
    <w:rsid w:val="00903A78"/>
    <w:pPr>
      <w:spacing w:after="0" w:line="240" w:lineRule="auto"/>
    </w:pPr>
    <w:rPr>
      <w:lang w:val="en-US" w:eastAsia="en-US"/>
    </w:rPr>
  </w:style>
  <w:style w:type="character" w:customStyle="1" w:styleId="NincstrkzChar">
    <w:name w:val="Nincs térköz Char"/>
    <w:basedOn w:val="Bekezdsalapbettpusa"/>
    <w:link w:val="Nincstrkz"/>
    <w:uiPriority w:val="1"/>
    <w:rsid w:val="00903A78"/>
    <w:rPr>
      <w:lang w:val="en-US" w:eastAsia="en-US"/>
    </w:rPr>
  </w:style>
  <w:style w:type="paragraph" w:styleId="NormlWeb">
    <w:name w:val="Normal (Web)"/>
    <w:basedOn w:val="Norml"/>
    <w:uiPriority w:val="99"/>
    <w:unhideWhenUsed/>
    <w:rsid w:val="00962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Bekezdsalapbettpusa"/>
    <w:uiPriority w:val="99"/>
    <w:semiHidden/>
    <w:unhideWhenUsed/>
    <w:rsid w:val="0096272A"/>
    <w:rPr>
      <w:color w:val="808080"/>
      <w:shd w:val="clear" w:color="auto" w:fill="E6E6E6"/>
    </w:rPr>
  </w:style>
  <w:style w:type="paragraph" w:customStyle="1" w:styleId="doc-ti">
    <w:name w:val="doc-ti"/>
    <w:basedOn w:val="Norml"/>
    <w:rsid w:val="003C3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l1">
    <w:name w:val="Normál1"/>
    <w:basedOn w:val="Norml"/>
    <w:rsid w:val="00150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Bekezdsalapbettpusa"/>
    <w:rsid w:val="00150811"/>
  </w:style>
  <w:style w:type="paragraph" w:customStyle="1" w:styleId="s78ef46a2">
    <w:name w:val="s78ef46a2"/>
    <w:basedOn w:val="Norml"/>
    <w:rsid w:val="006F5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34c30d1">
    <w:name w:val="sb34c30d1"/>
    <w:basedOn w:val="Bekezdsalapbettpusa"/>
    <w:rsid w:val="006F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98887">
      <w:bodyDiv w:val="1"/>
      <w:marLeft w:val="0"/>
      <w:marRight w:val="0"/>
      <w:marTop w:val="0"/>
      <w:marBottom w:val="0"/>
      <w:divBdr>
        <w:top w:val="none" w:sz="0" w:space="0" w:color="auto"/>
        <w:left w:val="none" w:sz="0" w:space="0" w:color="auto"/>
        <w:bottom w:val="none" w:sz="0" w:space="0" w:color="auto"/>
        <w:right w:val="none" w:sz="0" w:space="0" w:color="auto"/>
      </w:divBdr>
    </w:div>
    <w:div w:id="327828575">
      <w:bodyDiv w:val="1"/>
      <w:marLeft w:val="0"/>
      <w:marRight w:val="0"/>
      <w:marTop w:val="0"/>
      <w:marBottom w:val="0"/>
      <w:divBdr>
        <w:top w:val="none" w:sz="0" w:space="0" w:color="auto"/>
        <w:left w:val="none" w:sz="0" w:space="0" w:color="auto"/>
        <w:bottom w:val="none" w:sz="0" w:space="0" w:color="auto"/>
        <w:right w:val="none" w:sz="0" w:space="0" w:color="auto"/>
      </w:divBdr>
    </w:div>
    <w:div w:id="404031240">
      <w:bodyDiv w:val="1"/>
      <w:marLeft w:val="0"/>
      <w:marRight w:val="0"/>
      <w:marTop w:val="0"/>
      <w:marBottom w:val="0"/>
      <w:divBdr>
        <w:top w:val="none" w:sz="0" w:space="0" w:color="auto"/>
        <w:left w:val="none" w:sz="0" w:space="0" w:color="auto"/>
        <w:bottom w:val="none" w:sz="0" w:space="0" w:color="auto"/>
        <w:right w:val="none" w:sz="0" w:space="0" w:color="auto"/>
      </w:divBdr>
    </w:div>
    <w:div w:id="412095485">
      <w:bodyDiv w:val="1"/>
      <w:marLeft w:val="0"/>
      <w:marRight w:val="0"/>
      <w:marTop w:val="0"/>
      <w:marBottom w:val="0"/>
      <w:divBdr>
        <w:top w:val="none" w:sz="0" w:space="0" w:color="auto"/>
        <w:left w:val="none" w:sz="0" w:space="0" w:color="auto"/>
        <w:bottom w:val="none" w:sz="0" w:space="0" w:color="auto"/>
        <w:right w:val="none" w:sz="0" w:space="0" w:color="auto"/>
      </w:divBdr>
    </w:div>
    <w:div w:id="589855302">
      <w:bodyDiv w:val="1"/>
      <w:marLeft w:val="0"/>
      <w:marRight w:val="0"/>
      <w:marTop w:val="0"/>
      <w:marBottom w:val="0"/>
      <w:divBdr>
        <w:top w:val="none" w:sz="0" w:space="0" w:color="auto"/>
        <w:left w:val="none" w:sz="0" w:space="0" w:color="auto"/>
        <w:bottom w:val="none" w:sz="0" w:space="0" w:color="auto"/>
        <w:right w:val="none" w:sz="0" w:space="0" w:color="auto"/>
      </w:divBdr>
    </w:div>
    <w:div w:id="669255284">
      <w:bodyDiv w:val="1"/>
      <w:marLeft w:val="0"/>
      <w:marRight w:val="0"/>
      <w:marTop w:val="0"/>
      <w:marBottom w:val="0"/>
      <w:divBdr>
        <w:top w:val="none" w:sz="0" w:space="0" w:color="auto"/>
        <w:left w:val="none" w:sz="0" w:space="0" w:color="auto"/>
        <w:bottom w:val="none" w:sz="0" w:space="0" w:color="auto"/>
        <w:right w:val="none" w:sz="0" w:space="0" w:color="auto"/>
      </w:divBdr>
    </w:div>
    <w:div w:id="734401099">
      <w:bodyDiv w:val="1"/>
      <w:marLeft w:val="0"/>
      <w:marRight w:val="0"/>
      <w:marTop w:val="0"/>
      <w:marBottom w:val="0"/>
      <w:divBdr>
        <w:top w:val="none" w:sz="0" w:space="0" w:color="auto"/>
        <w:left w:val="none" w:sz="0" w:space="0" w:color="auto"/>
        <w:bottom w:val="none" w:sz="0" w:space="0" w:color="auto"/>
        <w:right w:val="none" w:sz="0" w:space="0" w:color="auto"/>
      </w:divBdr>
    </w:div>
    <w:div w:id="896477706">
      <w:bodyDiv w:val="1"/>
      <w:marLeft w:val="0"/>
      <w:marRight w:val="0"/>
      <w:marTop w:val="0"/>
      <w:marBottom w:val="0"/>
      <w:divBdr>
        <w:top w:val="none" w:sz="0" w:space="0" w:color="auto"/>
        <w:left w:val="none" w:sz="0" w:space="0" w:color="auto"/>
        <w:bottom w:val="none" w:sz="0" w:space="0" w:color="auto"/>
        <w:right w:val="none" w:sz="0" w:space="0" w:color="auto"/>
      </w:divBdr>
    </w:div>
    <w:div w:id="959990359">
      <w:bodyDiv w:val="1"/>
      <w:marLeft w:val="0"/>
      <w:marRight w:val="0"/>
      <w:marTop w:val="0"/>
      <w:marBottom w:val="0"/>
      <w:divBdr>
        <w:top w:val="none" w:sz="0" w:space="0" w:color="auto"/>
        <w:left w:val="none" w:sz="0" w:space="0" w:color="auto"/>
        <w:bottom w:val="none" w:sz="0" w:space="0" w:color="auto"/>
        <w:right w:val="none" w:sz="0" w:space="0" w:color="auto"/>
      </w:divBdr>
    </w:div>
    <w:div w:id="967274485">
      <w:bodyDiv w:val="1"/>
      <w:marLeft w:val="0"/>
      <w:marRight w:val="0"/>
      <w:marTop w:val="0"/>
      <w:marBottom w:val="0"/>
      <w:divBdr>
        <w:top w:val="none" w:sz="0" w:space="0" w:color="auto"/>
        <w:left w:val="none" w:sz="0" w:space="0" w:color="auto"/>
        <w:bottom w:val="none" w:sz="0" w:space="0" w:color="auto"/>
        <w:right w:val="none" w:sz="0" w:space="0" w:color="auto"/>
      </w:divBdr>
    </w:div>
    <w:div w:id="1155995294">
      <w:bodyDiv w:val="1"/>
      <w:marLeft w:val="0"/>
      <w:marRight w:val="0"/>
      <w:marTop w:val="0"/>
      <w:marBottom w:val="0"/>
      <w:divBdr>
        <w:top w:val="none" w:sz="0" w:space="0" w:color="auto"/>
        <w:left w:val="none" w:sz="0" w:space="0" w:color="auto"/>
        <w:bottom w:val="none" w:sz="0" w:space="0" w:color="auto"/>
        <w:right w:val="none" w:sz="0" w:space="0" w:color="auto"/>
      </w:divBdr>
    </w:div>
    <w:div w:id="1182090784">
      <w:bodyDiv w:val="1"/>
      <w:marLeft w:val="0"/>
      <w:marRight w:val="0"/>
      <w:marTop w:val="0"/>
      <w:marBottom w:val="0"/>
      <w:divBdr>
        <w:top w:val="none" w:sz="0" w:space="0" w:color="auto"/>
        <w:left w:val="none" w:sz="0" w:space="0" w:color="auto"/>
        <w:bottom w:val="none" w:sz="0" w:space="0" w:color="auto"/>
        <w:right w:val="none" w:sz="0" w:space="0" w:color="auto"/>
      </w:divBdr>
    </w:div>
    <w:div w:id="1497064085">
      <w:bodyDiv w:val="1"/>
      <w:marLeft w:val="0"/>
      <w:marRight w:val="0"/>
      <w:marTop w:val="0"/>
      <w:marBottom w:val="0"/>
      <w:divBdr>
        <w:top w:val="none" w:sz="0" w:space="0" w:color="auto"/>
        <w:left w:val="none" w:sz="0" w:space="0" w:color="auto"/>
        <w:bottom w:val="none" w:sz="0" w:space="0" w:color="auto"/>
        <w:right w:val="none" w:sz="0" w:space="0" w:color="auto"/>
      </w:divBdr>
    </w:div>
    <w:div w:id="1773161265">
      <w:bodyDiv w:val="1"/>
      <w:marLeft w:val="0"/>
      <w:marRight w:val="0"/>
      <w:marTop w:val="0"/>
      <w:marBottom w:val="0"/>
      <w:divBdr>
        <w:top w:val="none" w:sz="0" w:space="0" w:color="auto"/>
        <w:left w:val="none" w:sz="0" w:space="0" w:color="auto"/>
        <w:bottom w:val="none" w:sz="0" w:space="0" w:color="auto"/>
        <w:right w:val="none" w:sz="0" w:space="0" w:color="auto"/>
      </w:divBdr>
    </w:div>
    <w:div w:id="1943031671">
      <w:bodyDiv w:val="1"/>
      <w:marLeft w:val="0"/>
      <w:marRight w:val="0"/>
      <w:marTop w:val="0"/>
      <w:marBottom w:val="0"/>
      <w:divBdr>
        <w:top w:val="none" w:sz="0" w:space="0" w:color="auto"/>
        <w:left w:val="none" w:sz="0" w:space="0" w:color="auto"/>
        <w:bottom w:val="none" w:sz="0" w:space="0" w:color="auto"/>
        <w:right w:val="none" w:sz="0" w:space="0" w:color="auto"/>
      </w:divBdr>
    </w:div>
    <w:div w:id="1971091383">
      <w:bodyDiv w:val="1"/>
      <w:marLeft w:val="0"/>
      <w:marRight w:val="0"/>
      <w:marTop w:val="0"/>
      <w:marBottom w:val="0"/>
      <w:divBdr>
        <w:top w:val="none" w:sz="0" w:space="0" w:color="auto"/>
        <w:left w:val="none" w:sz="0" w:space="0" w:color="auto"/>
        <w:bottom w:val="none" w:sz="0" w:space="0" w:color="auto"/>
        <w:right w:val="none" w:sz="0" w:space="0" w:color="auto"/>
      </w:divBdr>
    </w:div>
    <w:div w:id="2040661523">
      <w:bodyDiv w:val="1"/>
      <w:marLeft w:val="0"/>
      <w:marRight w:val="0"/>
      <w:marTop w:val="0"/>
      <w:marBottom w:val="0"/>
      <w:divBdr>
        <w:top w:val="none" w:sz="0" w:space="0" w:color="auto"/>
        <w:left w:val="none" w:sz="0" w:space="0" w:color="auto"/>
        <w:bottom w:val="none" w:sz="0" w:space="0" w:color="auto"/>
        <w:right w:val="none" w:sz="0" w:space="0" w:color="auto"/>
      </w:divBdr>
    </w:div>
    <w:div w:id="2112428807">
      <w:bodyDiv w:val="1"/>
      <w:marLeft w:val="0"/>
      <w:marRight w:val="0"/>
      <w:marTop w:val="0"/>
      <w:marBottom w:val="0"/>
      <w:divBdr>
        <w:top w:val="none" w:sz="0" w:space="0" w:color="auto"/>
        <w:left w:val="none" w:sz="0" w:space="0" w:color="auto"/>
        <w:bottom w:val="none" w:sz="0" w:space="0" w:color="auto"/>
        <w:right w:val="none" w:sz="0" w:space="0" w:color="auto"/>
      </w:divBdr>
    </w:div>
    <w:div w:id="21433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udoc.echr.coe.int/eng?i=001-172327" TargetMode="External"/><Relationship Id="rId18" Type="http://schemas.openxmlformats.org/officeDocument/2006/relationships/hyperlink" Target="http://hudoc.echr.coe.int/eng?i=001-85308" TargetMode="External"/><Relationship Id="rId26" Type="http://schemas.openxmlformats.org/officeDocument/2006/relationships/hyperlink" Target="http://hudoc.echr.coe.int/eng" TargetMode="External"/><Relationship Id="rId39" Type="http://schemas.openxmlformats.org/officeDocument/2006/relationships/hyperlink" Target="http://www.coe.int/t/dghl/monitoring/ecri/activities/GPR/EN/Recommendation_N6/default_en.asp" TargetMode="External"/><Relationship Id="rId21" Type="http://schemas.openxmlformats.org/officeDocument/2006/relationships/hyperlink" Target="http://hudoc.echr.coe.int/eng" TargetMode="External"/><Relationship Id="rId34" Type="http://schemas.openxmlformats.org/officeDocument/2006/relationships/image" Target="media/image1.jpeg"/><Relationship Id="rId42" Type="http://schemas.openxmlformats.org/officeDocument/2006/relationships/hyperlink" Target="http://www.coe.int/t/dghl/monitoring/ecri/activities/GPR/EN/Recommendation_N9/default_en.asp" TargetMode="External"/><Relationship Id="rId47" Type="http://schemas.openxmlformats.org/officeDocument/2006/relationships/hyperlink" Target="http://www.coe.int/t/dghl/monitoring/ecri/activities/GPR/EN/Recommendation_N15/default_en.asp" TargetMode="External"/><Relationship Id="rId50" Type="http://schemas.openxmlformats.org/officeDocument/2006/relationships/hyperlink" Target="http://www.osce.org/pc/35610" TargetMode="External"/><Relationship Id="rId55" Type="http://schemas.openxmlformats.org/officeDocument/2006/relationships/hyperlink" Target="https://www.osce.org/odihr/tandis" TargetMode="External"/><Relationship Id="rId63" Type="http://schemas.openxmlformats.org/officeDocument/2006/relationships/hyperlink" Target="http://journals.sagepub.com/doi/abs/10.1177/00027640121957420" TargetMode="External"/><Relationship Id="rId68" Type="http://schemas.openxmlformats.org/officeDocument/2006/relationships/hyperlink" Target="http://www.osce.org/odihr/prosecutorsguide?download=true" TargetMode="External"/><Relationship Id="rId7" Type="http://schemas.openxmlformats.org/officeDocument/2006/relationships/webSettings" Target="webSettings.xml"/><Relationship Id="rId71" Type="http://schemas.openxmlformats.org/officeDocument/2006/relationships/hyperlink" Target="https://www.theguardian.com/society/2017/jun/20/anti-muslim-hate-surges-after-manchester-and-london-bridge-attacks" TargetMode="External"/><Relationship Id="rId2" Type="http://schemas.openxmlformats.org/officeDocument/2006/relationships/customXml" Target="../customXml/item2.xml"/><Relationship Id="rId16" Type="http://schemas.openxmlformats.org/officeDocument/2006/relationships/hyperlink" Target="http://hudoc.echr.coe.int/eng?i=001-69630" TargetMode="External"/><Relationship Id="rId29" Type="http://schemas.openxmlformats.org/officeDocument/2006/relationships/hyperlink" Target="https://eur-lex.europa.eu/legal-content/HU/TXT/HTML/?uri=CELEX:12012E/TXT&amp;from=HU" TargetMode="External"/><Relationship Id="rId11" Type="http://schemas.openxmlformats.org/officeDocument/2006/relationships/hyperlink" Target="http://hudoc.echr.coe.int/eng?i=001-102252" TargetMode="External"/><Relationship Id="rId24" Type="http://schemas.openxmlformats.org/officeDocument/2006/relationships/hyperlink" Target="http://hudoc.echr.coe.int/eng?i=001-112322" TargetMode="External"/><Relationship Id="rId32" Type="http://schemas.openxmlformats.org/officeDocument/2006/relationships/hyperlink" Target="https://eur-lex.europa.eu/legal-content/HU/AUTO/?uri=celex:52014DC0027" TargetMode="External"/><Relationship Id="rId37" Type="http://schemas.openxmlformats.org/officeDocument/2006/relationships/hyperlink" Target="http://www.coe.int/t/dghl/monitoring/ecri/activities/GPR/EN/Recommendation_N4/default_en.asp" TargetMode="External"/><Relationship Id="rId40" Type="http://schemas.openxmlformats.org/officeDocument/2006/relationships/hyperlink" Target="http://www.coe.int/t/dghl/monitoring/ecri/activities/GPR/EN/Recommendation_N7/default_en.asp" TargetMode="External"/><Relationship Id="rId45" Type="http://schemas.openxmlformats.org/officeDocument/2006/relationships/hyperlink" Target="http://www.coe.int/t/dghl/monitoring/ecri/activities/GPR/EN/Recommendation_N12/default_en.asp" TargetMode="External"/><Relationship Id="rId53" Type="http://schemas.openxmlformats.org/officeDocument/2006/relationships/hyperlink" Target="http://www.osce.org/odihr/antisemitism" TargetMode="External"/><Relationship Id="rId58" Type="http://schemas.openxmlformats.org/officeDocument/2006/relationships/hyperlink" Target="https://www.equalityhumanrights.com/sites/default/files/research-report-102-causes-and-motivations-of-hate-crime.pdf" TargetMode="External"/><Relationship Id="rId66" Type="http://schemas.openxmlformats.org/officeDocument/2006/relationships/hyperlink" Target="http://www.osce.org/odihr/36426" TargetMode="External"/><Relationship Id="rId7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hudoc.echr.coe.int/eng?i=001-170391" TargetMode="External"/><Relationship Id="rId23" Type="http://schemas.openxmlformats.org/officeDocument/2006/relationships/hyperlink" Target="http://hudoc.echr.coe.int/eng" TargetMode="External"/><Relationship Id="rId28" Type="http://schemas.openxmlformats.org/officeDocument/2006/relationships/hyperlink" Target="https://net.jogtar.hu/jogszabaly?docid=97600008.TVR" TargetMode="External"/><Relationship Id="rId36" Type="http://schemas.openxmlformats.org/officeDocument/2006/relationships/hyperlink" Target="http://www.coe.int/t/dghl/monitoring/ecri/activities/GPR/EN/Recommendation_N2/default_en.asp" TargetMode="External"/><Relationship Id="rId49" Type="http://schemas.openxmlformats.org/officeDocument/2006/relationships/hyperlink" Target="http://www.osce.org/mc/19382" TargetMode="External"/><Relationship Id="rId57" Type="http://schemas.openxmlformats.org/officeDocument/2006/relationships/hyperlink" Target="http://www.echr.coe.int/Documents/FS_Racial_discrimination_ENG.pdf" TargetMode="External"/><Relationship Id="rId61" Type="http://schemas.openxmlformats.org/officeDocument/2006/relationships/hyperlink" Target="http://fra.europa.eu/sites/default/files/fra_uploads/fra-2016-november-monthly-focus-hate-crime_en.pdf" TargetMode="External"/><Relationship Id="rId10" Type="http://schemas.openxmlformats.org/officeDocument/2006/relationships/hyperlink" Target="http://hudoc.echr.coe.int/eng?i=001-170391" TargetMode="External"/><Relationship Id="rId19" Type="http://schemas.openxmlformats.org/officeDocument/2006/relationships/hyperlink" Target="http://hudoc.echr.coe.int/eng?i=001-102252" TargetMode="External"/><Relationship Id="rId31" Type="http://schemas.openxmlformats.org/officeDocument/2006/relationships/hyperlink" Target="https://eur-lex.europa.eu/legal-content/HU/AUTO/?uri=uriserv:l33058" TargetMode="External"/><Relationship Id="rId44" Type="http://schemas.openxmlformats.org/officeDocument/2006/relationships/hyperlink" Target="http://www.coe.int/t/dghl/monitoring/ecri/activities/GPR/EN/Recommendation_N11/default_en.asp" TargetMode="External"/><Relationship Id="rId52" Type="http://schemas.openxmlformats.org/officeDocument/2006/relationships/hyperlink" Target="https://www.osce.org/odihr/Muslims" TargetMode="External"/><Relationship Id="rId60" Type="http://schemas.openxmlformats.org/officeDocument/2006/relationships/hyperlink" Target="http://fra.europa.eu/en/publication/2016/ensuring-justice-hate-crime-victims-professional-perspectives" TargetMode="External"/><Relationship Id="rId65" Type="http://schemas.openxmlformats.org/officeDocument/2006/relationships/hyperlink" Target="http://www.scielo.org.za/scielo.php?script=sci_arttext&amp;pid=S1021-545X2016000100004"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hudoc.echr.coe.int/eng?i=001-154400" TargetMode="External"/><Relationship Id="rId22" Type="http://schemas.openxmlformats.org/officeDocument/2006/relationships/hyperlink" Target="http://hudoc.echr.coe.int/eng?i=001-146769" TargetMode="External"/><Relationship Id="rId27" Type="http://schemas.openxmlformats.org/officeDocument/2006/relationships/hyperlink" Target="http://www.ohchr.org/EN/UDHR/Pages/Language.aspx?LangID=hng" TargetMode="External"/><Relationship Id="rId30" Type="http://schemas.openxmlformats.org/officeDocument/2006/relationships/hyperlink" Target="http://eur-lex.europa.eu/legal-content/EN/TXT/?uri=celex:32008F0913" TargetMode="External"/><Relationship Id="rId35" Type="http://schemas.openxmlformats.org/officeDocument/2006/relationships/hyperlink" Target="http://www.coe.int/t/dghl/monitoring/ecri/activities/GPR/EN/Recommendation_N1/default_en.asp" TargetMode="External"/><Relationship Id="rId43" Type="http://schemas.openxmlformats.org/officeDocument/2006/relationships/hyperlink" Target="http://www.coe.int/t/dghl/monitoring/ecri/activities/GPR/EN/Recommendation_N10/default_en.asp" TargetMode="External"/><Relationship Id="rId48" Type="http://schemas.openxmlformats.org/officeDocument/2006/relationships/hyperlink" Target="http://www.coe.int/t/dghl/monitoring/ecri/activities/GPR/EN/Recommendation_N16/default_en.asp" TargetMode="External"/><Relationship Id="rId56" Type="http://schemas.openxmlformats.org/officeDocument/2006/relationships/hyperlink" Target="http://ejce.berkeley.edu/report-incident/what-hate-crime" TargetMode="External"/><Relationship Id="rId64" Type="http://schemas.openxmlformats.org/officeDocument/2006/relationships/hyperlink" Target="http://www.internationalhatestudies.com/common-european-hate-crime-grounds-can-we-find-them/" TargetMode="External"/><Relationship Id="rId69" Type="http://schemas.openxmlformats.org/officeDocument/2006/relationships/hyperlink" Target="http://www.osce.org/odihr/313306?download=true" TargetMode="External"/><Relationship Id="rId8" Type="http://schemas.openxmlformats.org/officeDocument/2006/relationships/footnotes" Target="footnotes.xml"/><Relationship Id="rId51" Type="http://schemas.openxmlformats.org/officeDocument/2006/relationships/hyperlink" Target="http://www.osce.org/cio/40695" TargetMode="External"/><Relationship Id="rId72" Type="http://schemas.openxmlformats.org/officeDocument/2006/relationships/hyperlink" Target="http://www.ohchr.org/EN/UDHR/Pages/Language.aspx?LangID=hng" TargetMode="External"/><Relationship Id="rId3" Type="http://schemas.openxmlformats.org/officeDocument/2006/relationships/numbering" Target="numbering.xml"/><Relationship Id="rId12" Type="http://schemas.openxmlformats.org/officeDocument/2006/relationships/hyperlink" Target="http://hudoc.echr.coe.int/eng?i=001-172327" TargetMode="External"/><Relationship Id="rId17" Type="http://schemas.openxmlformats.org/officeDocument/2006/relationships/hyperlink" Target="http://hudoc.echr.coe.int/eng?i=001-170391" TargetMode="External"/><Relationship Id="rId25" Type="http://schemas.openxmlformats.org/officeDocument/2006/relationships/hyperlink" Target="http://hudoc.echr.coe.int/eng" TargetMode="External"/><Relationship Id="rId33" Type="http://schemas.openxmlformats.org/officeDocument/2006/relationships/hyperlink" Target="https://www.echr.coe.int/Documents/Convention_ENG.pdf" TargetMode="External"/><Relationship Id="rId38" Type="http://schemas.openxmlformats.org/officeDocument/2006/relationships/hyperlink" Target="http://www.coe.int/t/dghl/monitoring/ecri/activities/GPR/EN/Recommendation_N5/default_en.asp" TargetMode="External"/><Relationship Id="rId46" Type="http://schemas.openxmlformats.org/officeDocument/2006/relationships/hyperlink" Target="http://www.coe.int/t/dghl/monitoring/ecri/activities/GPR/EN/Recommendation_N13/default_en.asp" TargetMode="External"/><Relationship Id="rId59" Type="http://schemas.openxmlformats.org/officeDocument/2006/relationships/hyperlink" Target="http://fra.europa.eu/en/publication/2012/hate-crime-european-union" TargetMode="External"/><Relationship Id="rId67" Type="http://schemas.openxmlformats.org/officeDocument/2006/relationships/hyperlink" Target="http://addresshatecrime.eu/materialdocs/OSCE%20Guides/ODIHR%20and%20hate%20crime.pdf" TargetMode="External"/><Relationship Id="rId20" Type="http://schemas.openxmlformats.org/officeDocument/2006/relationships/hyperlink" Target="http://hudoc.echr.coe.int/eng-press" TargetMode="External"/><Relationship Id="rId41" Type="http://schemas.openxmlformats.org/officeDocument/2006/relationships/hyperlink" Target="http://www.coe.int/t/dghl/monitoring/ecri/activities/GPR/EN/Recommendation_N8/default_en.asp" TargetMode="External"/><Relationship Id="rId54" Type="http://schemas.openxmlformats.org/officeDocument/2006/relationships/hyperlink" Target="http://hatecrime.osce.org/" TargetMode="External"/><Relationship Id="rId62" Type="http://schemas.openxmlformats.org/officeDocument/2006/relationships/hyperlink" Target="http://fra.europa.eu/en/theme/hate-crime/compendium-practices" TargetMode="External"/><Relationship Id="rId70" Type="http://schemas.openxmlformats.org/officeDocument/2006/relationships/hyperlink" Target="http://hatecrime.osce.org/what-hate-crime"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osce.org/odihr/313306?download=true" TargetMode="External"/><Relationship Id="rId13" Type="http://schemas.openxmlformats.org/officeDocument/2006/relationships/hyperlink" Target="http://www.osce.org/odihr/prosecutorsguide?download=true" TargetMode="External"/><Relationship Id="rId18" Type="http://schemas.openxmlformats.org/officeDocument/2006/relationships/hyperlink" Target="http://indicators.ohchr.org/" TargetMode="External"/><Relationship Id="rId26" Type="http://schemas.openxmlformats.org/officeDocument/2006/relationships/hyperlink" Target="http://fra.europa.eu/en/publication/2016/ensuring-justice-hate-crime-victims-professional-perspectives" TargetMode="External"/><Relationship Id="rId3" Type="http://schemas.openxmlformats.org/officeDocument/2006/relationships/hyperlink" Target="https://www.equalityhumanrights.com/sites/default/files/research-report-102-causes-and-motivations-of-hate-crime.pdf" TargetMode="External"/><Relationship Id="rId21" Type="http://schemas.openxmlformats.org/officeDocument/2006/relationships/hyperlink" Target="http://www.ohchr.org/EN/HRBodies/CCPR/Pages/CCPRIndex.aspx" TargetMode="External"/><Relationship Id="rId7" Type="http://schemas.openxmlformats.org/officeDocument/2006/relationships/hyperlink" Target="http://www.scielo.org.za/scielo.php?script=sci_arttext&amp;pid=S1021-545X2016000100004" TargetMode="External"/><Relationship Id="rId12" Type="http://schemas.openxmlformats.org/officeDocument/2006/relationships/hyperlink" Target="http://hatecrime.osce.org/what-hate-crime" TargetMode="External"/><Relationship Id="rId17" Type="http://schemas.openxmlformats.org/officeDocument/2006/relationships/hyperlink" Target="http://fra.europa.eu/en/publication/2012/hate-crime-european-union" TargetMode="External"/><Relationship Id="rId25" Type="http://schemas.openxmlformats.org/officeDocument/2006/relationships/hyperlink" Target="http://www.consilium.europa.eu/uedocs/cms_data/docs/pressdata/en/jha/139949.pdf" TargetMode="External"/><Relationship Id="rId2" Type="http://schemas.openxmlformats.org/officeDocument/2006/relationships/hyperlink" Target="http://www.osce.org/odihr/36426" TargetMode="External"/><Relationship Id="rId16" Type="http://schemas.openxmlformats.org/officeDocument/2006/relationships/hyperlink" Target="http://fra.europa.eu/en/theme/hate-crime/compendium-practices" TargetMode="External"/><Relationship Id="rId20" Type="http://schemas.openxmlformats.org/officeDocument/2006/relationships/hyperlink" Target="http://indicators.ohchr.org/" TargetMode="External"/><Relationship Id="rId1" Type="http://schemas.openxmlformats.org/officeDocument/2006/relationships/hyperlink" Target="http://www.ohchr.org/EN/UDHR/Pages/Language.aspx?LangID=hng" TargetMode="External"/><Relationship Id="rId6" Type="http://schemas.openxmlformats.org/officeDocument/2006/relationships/hyperlink" Target="http://journals.sagepub.com/doi/abs/10.1177/00027640121957420" TargetMode="External"/><Relationship Id="rId11" Type="http://schemas.openxmlformats.org/officeDocument/2006/relationships/hyperlink" Target="http://fra.europa.eu/en/publication/2016/ensuring-justice-hate-crime-victims-professional-perspectives" TargetMode="External"/><Relationship Id="rId24" Type="http://schemas.openxmlformats.org/officeDocument/2006/relationships/hyperlink" Target="http://hrlibrary.umn.edu/research/bulgaria/Angelova_and_Iliev_en1.pdf" TargetMode="External"/><Relationship Id="rId5" Type="http://schemas.openxmlformats.org/officeDocument/2006/relationships/hyperlink" Target="http://addresshatecrime.eu/materialdocs/OSCE%20Guides/ODIHR%20and%20hate%20crime.pdf" TargetMode="External"/><Relationship Id="rId15" Type="http://schemas.openxmlformats.org/officeDocument/2006/relationships/hyperlink" Target="http://fra.europa.eu/sites/default/files/fra_uploads/fra-2016-november-monthly-focus-hate-crime_en.pdf" TargetMode="External"/><Relationship Id="rId23" Type="http://schemas.openxmlformats.org/officeDocument/2006/relationships/hyperlink" Target="http://www.osce.org/odihr/prosecutorsguide" TargetMode="External"/><Relationship Id="rId10" Type="http://schemas.openxmlformats.org/officeDocument/2006/relationships/hyperlink" Target="http://ejce.berkeley.edu/report-incident/what-hate-crime" TargetMode="External"/><Relationship Id="rId19" Type="http://schemas.openxmlformats.org/officeDocument/2006/relationships/hyperlink" Target="http://www.ohchr.org/EN/HRBodies/CCPR/Pages/CCPRIndex.aspx" TargetMode="External"/><Relationship Id="rId4" Type="http://schemas.openxmlformats.org/officeDocument/2006/relationships/hyperlink" Target="https://www.theguardian.com/society/2017/jun/20/anti-muslim-hate-surges-after-manchester-and-london-bridge-attacks" TargetMode="External"/><Relationship Id="rId9" Type="http://schemas.openxmlformats.org/officeDocument/2006/relationships/hyperlink" Target="http://www.internationalhatestudies.com/common-european-hate-crime-grounds-can-we-find-them/" TargetMode="External"/><Relationship Id="rId14" Type="http://schemas.openxmlformats.org/officeDocument/2006/relationships/hyperlink" Target="http://www.echr.coe.int/Documents/FS_Racial_discrimination_ENG.pdf" TargetMode="External"/><Relationship Id="rId22" Type="http://schemas.openxmlformats.org/officeDocument/2006/relationships/hyperlink" Target="https://www.amnesty.org/en/documents/IOR52/001/2013/en/" TargetMode="External"/><Relationship Id="rId27" Type="http://schemas.openxmlformats.org/officeDocument/2006/relationships/hyperlink" Target="http://www.coe.int/t/dghl/monitoring/ecri/library/publications.as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HATE CRIMES.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1BF0AD-1F30-4CD3-AFFE-3B2DBFF0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11790</Words>
  <Characters>81356</Characters>
  <Application>Microsoft Office Word</Application>
  <DocSecurity>0</DocSecurity>
  <Lines>677</Lines>
  <Paragraphs>185</Paragraphs>
  <ScaleCrop>false</ScaleCrop>
  <HeadingPairs>
    <vt:vector size="8" baseType="variant">
      <vt:variant>
        <vt:lpstr>Cím</vt:lpstr>
      </vt:variant>
      <vt:variant>
        <vt:i4>1</vt:i4>
      </vt:variant>
      <vt:variant>
        <vt:lpstr>Titolo</vt:lpstr>
      </vt:variant>
      <vt:variant>
        <vt:i4>1</vt:i4>
      </vt:variant>
      <vt:variant>
        <vt:lpstr>Title</vt:lpstr>
      </vt:variant>
      <vt:variant>
        <vt:i4>1</vt:i4>
      </vt:variant>
      <vt:variant>
        <vt:lpstr>Τίτλος</vt:lpstr>
      </vt:variant>
      <vt:variant>
        <vt:i4>1</vt:i4>
      </vt:variant>
    </vt:vector>
  </HeadingPairs>
  <TitlesOfParts>
    <vt:vector size="4" baseType="lpstr">
      <vt:lpstr>GYŰLÖLET-BŰNCSELEKMÉNYEK</vt:lpstr>
      <vt:lpstr>HATE CRIMES</vt:lpstr>
      <vt:lpstr/>
      <vt:lpstr/>
    </vt:vector>
  </TitlesOfParts>
  <Company/>
  <LinksUpToDate>false</LinksUpToDate>
  <CharactersWithSpaces>92961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GYŰLÖLET-BŰNCSELEKMÉNYEK</dc:title>
  <dc:subject>KÉPZÉSI MODUL</dc:subject>
  <dc:creator>GREEK REFUGEE COUNCIL</dc:creator>
  <cp:lastModifiedBy>Grusa Matevzic</cp:lastModifiedBy>
  <cp:revision>2</cp:revision>
  <cp:lastPrinted>2018-05-14T20:38:00Z</cp:lastPrinted>
  <dcterms:created xsi:type="dcterms:W3CDTF">2018-06-14T10:16:00Z</dcterms:created>
  <dcterms:modified xsi:type="dcterms:W3CDTF">2018-06-14T10:16:00Z</dcterms:modified>
</cp:coreProperties>
</file>