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86B8" w14:textId="6DEE1985" w:rsidR="00206DD7" w:rsidRPr="006A53B7" w:rsidRDefault="00045DAE" w:rsidP="00045DAE">
      <w:pPr>
        <w:spacing w:after="0" w:line="240" w:lineRule="auto"/>
        <w:rPr>
          <w:rFonts w:cs="Times New Roman"/>
          <w:b/>
          <w:bCs/>
          <w:i/>
          <w:iCs/>
          <w:szCs w:val="24"/>
        </w:rPr>
      </w:pPr>
      <w:r>
        <w:rPr>
          <w:rFonts w:cs="Times New Roman"/>
          <w:b/>
          <w:bCs/>
          <w:szCs w:val="24"/>
        </w:rPr>
        <w:t>Budapesti Rendőr-főkapitányság</w:t>
      </w:r>
    </w:p>
    <w:p w14:paraId="70A186B7" w14:textId="2AC07D57" w:rsidR="002F3402" w:rsidRPr="006A53B7" w:rsidRDefault="00045DAE" w:rsidP="002F3402">
      <w:pPr>
        <w:spacing w:after="0" w:line="240" w:lineRule="auto"/>
        <w:rPr>
          <w:rFonts w:cs="Times New Roman"/>
          <w:b/>
          <w:bCs/>
          <w:i/>
          <w:iCs/>
          <w:szCs w:val="24"/>
        </w:rPr>
      </w:pPr>
      <w:r>
        <w:rPr>
          <w:rFonts w:cs="Times New Roman"/>
          <w:b/>
          <w:bCs/>
          <w:szCs w:val="24"/>
        </w:rPr>
        <w:t>II. Kerületi Rendőrkapitányság</w:t>
      </w:r>
      <w:r w:rsidR="002F3402">
        <w:rPr>
          <w:rFonts w:cs="Times New Roman"/>
          <w:b/>
          <w:bCs/>
          <w:szCs w:val="24"/>
        </w:rPr>
        <w:t xml:space="preserve"> </w:t>
      </w:r>
      <w:r w:rsidR="002F3402">
        <w:rPr>
          <w:rFonts w:cs="Times New Roman"/>
          <w:b/>
          <w:bCs/>
          <w:i/>
          <w:iCs/>
          <w:szCs w:val="24"/>
          <w:highlight w:val="yellow"/>
        </w:rPr>
        <w:t>/v</w:t>
      </w:r>
      <w:r w:rsidR="002F3402" w:rsidRPr="006A53B7">
        <w:rPr>
          <w:rFonts w:cs="Times New Roman"/>
          <w:b/>
          <w:bCs/>
          <w:i/>
          <w:iCs/>
          <w:szCs w:val="24"/>
          <w:highlight w:val="yellow"/>
        </w:rPr>
        <w:t>agy más rendőrkapitányság, ahonnan a megszüntető határozat érkezett</w:t>
      </w:r>
    </w:p>
    <w:p w14:paraId="3EAFF8C0" w14:textId="7FBA20E6" w:rsidR="00045DAE" w:rsidRDefault="00045DAE" w:rsidP="00045DAE">
      <w:pPr>
        <w:spacing w:after="0" w:line="240" w:lineRule="auto"/>
        <w:rPr>
          <w:rFonts w:cs="Times New Roman"/>
          <w:b/>
          <w:bCs/>
          <w:szCs w:val="24"/>
        </w:rPr>
      </w:pPr>
    </w:p>
    <w:p w14:paraId="1745C590" w14:textId="13243A74" w:rsidR="00045DAE" w:rsidRPr="00133910" w:rsidRDefault="00045DAE" w:rsidP="00045DAE">
      <w:pPr>
        <w:spacing w:line="240" w:lineRule="auto"/>
        <w:rPr>
          <w:rFonts w:cs="Times New Roman"/>
          <w:b/>
          <w:bCs/>
          <w:szCs w:val="24"/>
        </w:rPr>
      </w:pPr>
      <w:r>
        <w:rPr>
          <w:rFonts w:cs="Times New Roman"/>
          <w:b/>
          <w:bCs/>
          <w:szCs w:val="24"/>
        </w:rPr>
        <w:t>Bűnügyi Osztály</w:t>
      </w:r>
    </w:p>
    <w:p w14:paraId="7307DED5" w14:textId="21D674E3" w:rsidR="00045DAE" w:rsidRDefault="00045DAE" w:rsidP="00206DD7">
      <w:pPr>
        <w:pStyle w:val="Nincstrkz"/>
        <w:spacing w:line="276" w:lineRule="auto"/>
      </w:pPr>
      <w:hyperlink r:id="rId8" w:history="1">
        <w:r w:rsidRPr="004306C5">
          <w:rPr>
            <w:rStyle w:val="Hiperhivatkozs"/>
          </w:rPr>
          <w:t>02rk@budapest.police.hu</w:t>
        </w:r>
      </w:hyperlink>
    </w:p>
    <w:p w14:paraId="1F26ACE6" w14:textId="750C46DF" w:rsidR="00206DD7" w:rsidRPr="00133910" w:rsidRDefault="00206DD7" w:rsidP="00206DD7">
      <w:pPr>
        <w:pStyle w:val="Nincstrkz"/>
        <w:spacing w:line="276" w:lineRule="auto"/>
        <w:rPr>
          <w:rFonts w:cs="Times New Roman"/>
          <w:szCs w:val="24"/>
          <w:u w:val="single"/>
        </w:rPr>
      </w:pPr>
      <w:r w:rsidRPr="00133910">
        <w:rPr>
          <w:rFonts w:cs="Times New Roman"/>
          <w:szCs w:val="24"/>
          <w:u w:val="single"/>
        </w:rPr>
        <w:t>elektronikus úton</w:t>
      </w:r>
    </w:p>
    <w:p w14:paraId="29C3A682" w14:textId="77777777" w:rsidR="00206DD7" w:rsidRPr="00133910" w:rsidRDefault="00206DD7" w:rsidP="00206DD7">
      <w:pPr>
        <w:pStyle w:val="Nincstrkz"/>
        <w:spacing w:line="276" w:lineRule="auto"/>
        <w:rPr>
          <w:rFonts w:cs="Times New Roman"/>
          <w:szCs w:val="24"/>
          <w:u w:val="single"/>
        </w:rPr>
      </w:pPr>
    </w:p>
    <w:p w14:paraId="51D7907C" w14:textId="77777777" w:rsidR="00206DD7" w:rsidRPr="00133910" w:rsidRDefault="00206DD7" w:rsidP="00206DD7">
      <w:pPr>
        <w:pStyle w:val="Nincstrkz"/>
        <w:spacing w:line="276" w:lineRule="auto"/>
        <w:rPr>
          <w:rFonts w:cs="Times New Roman"/>
          <w:b/>
          <w:bCs/>
          <w:szCs w:val="24"/>
        </w:rPr>
      </w:pPr>
    </w:p>
    <w:p w14:paraId="55CEB4EB" w14:textId="2F9432D6" w:rsidR="00206DD7" w:rsidRPr="00133910" w:rsidRDefault="00206DD7" w:rsidP="00206DD7">
      <w:pPr>
        <w:pStyle w:val="Nincstrkz"/>
        <w:spacing w:line="276" w:lineRule="auto"/>
        <w:rPr>
          <w:rFonts w:cs="Times New Roman"/>
          <w:b/>
          <w:bCs/>
          <w:szCs w:val="24"/>
        </w:rPr>
      </w:pPr>
      <w:r w:rsidRPr="00133910">
        <w:rPr>
          <w:rFonts w:cs="Times New Roman"/>
          <w:b/>
          <w:bCs/>
          <w:szCs w:val="24"/>
        </w:rPr>
        <w:t xml:space="preserve">Tisztelt </w:t>
      </w:r>
      <w:r w:rsidR="00045DAE">
        <w:rPr>
          <w:rFonts w:cs="Times New Roman"/>
          <w:b/>
          <w:bCs/>
          <w:szCs w:val="24"/>
        </w:rPr>
        <w:t>Rendőrkapitányság</w:t>
      </w:r>
      <w:r w:rsidRPr="00133910">
        <w:rPr>
          <w:rFonts w:cs="Times New Roman"/>
          <w:b/>
          <w:bCs/>
          <w:szCs w:val="24"/>
        </w:rPr>
        <w:t>!</w:t>
      </w:r>
    </w:p>
    <w:p w14:paraId="75FF8D56" w14:textId="77777777" w:rsidR="00206DD7" w:rsidRPr="00133910" w:rsidRDefault="00206DD7" w:rsidP="00206DD7">
      <w:pPr>
        <w:pStyle w:val="Nincstrkz"/>
        <w:spacing w:line="276" w:lineRule="auto"/>
        <w:jc w:val="both"/>
        <w:rPr>
          <w:rFonts w:cs="Times New Roman"/>
          <w:szCs w:val="24"/>
        </w:rPr>
      </w:pPr>
    </w:p>
    <w:p w14:paraId="67DE00A5" w14:textId="77777777" w:rsidR="00206DD7" w:rsidRDefault="00206DD7" w:rsidP="00206DD7">
      <w:pPr>
        <w:pStyle w:val="Nincstrkz"/>
        <w:spacing w:line="276" w:lineRule="auto"/>
        <w:jc w:val="both"/>
        <w:rPr>
          <w:rFonts w:cs="Times New Roman"/>
          <w:szCs w:val="24"/>
        </w:rPr>
      </w:pPr>
      <w:r w:rsidRPr="00133910">
        <w:rPr>
          <w:rFonts w:cs="Times New Roman"/>
          <w:szCs w:val="24"/>
        </w:rPr>
        <w:t xml:space="preserve">Alulírott </w:t>
      </w:r>
      <w:r w:rsidRPr="00133910">
        <w:rPr>
          <w:rFonts w:cs="Times New Roman"/>
          <w:szCs w:val="24"/>
          <w:highlight w:val="yellow"/>
        </w:rPr>
        <w:t>NÉV</w:t>
      </w:r>
      <w:r w:rsidRPr="00133910">
        <w:rPr>
          <w:rFonts w:cs="Times New Roman"/>
          <w:szCs w:val="24"/>
        </w:rPr>
        <w:t xml:space="preserve"> </w:t>
      </w:r>
    </w:p>
    <w:p w14:paraId="4ACBA311" w14:textId="59DE4F8F" w:rsidR="00206DD7" w:rsidRDefault="00206DD7" w:rsidP="00206DD7">
      <w:pPr>
        <w:pStyle w:val="Nincstrkz"/>
        <w:spacing w:line="276" w:lineRule="auto"/>
        <w:ind w:left="708"/>
        <w:jc w:val="both"/>
        <w:rPr>
          <w:rFonts w:cs="Times New Roman"/>
          <w:szCs w:val="24"/>
        </w:rPr>
      </w:pPr>
      <w:r w:rsidRPr="00133910">
        <w:rPr>
          <w:rFonts w:cs="Times New Roman"/>
          <w:szCs w:val="24"/>
        </w:rPr>
        <w:t xml:space="preserve">szül. hely, idő: </w:t>
      </w:r>
      <w:r w:rsidRPr="00133910">
        <w:rPr>
          <w:rFonts w:cs="Times New Roman"/>
          <w:szCs w:val="24"/>
          <w:highlight w:val="yellow"/>
        </w:rPr>
        <w:t>…………………..</w:t>
      </w:r>
      <w:r w:rsidRPr="00133910">
        <w:rPr>
          <w:rFonts w:cs="Times New Roman"/>
          <w:szCs w:val="24"/>
        </w:rPr>
        <w:t xml:space="preserve"> </w:t>
      </w:r>
    </w:p>
    <w:p w14:paraId="013B96F3" w14:textId="409F1622" w:rsidR="00206DD7" w:rsidRDefault="00206DD7" w:rsidP="00206DD7">
      <w:pPr>
        <w:pStyle w:val="Nincstrkz"/>
        <w:spacing w:line="276" w:lineRule="auto"/>
        <w:ind w:left="708"/>
        <w:jc w:val="both"/>
        <w:rPr>
          <w:rFonts w:cs="Times New Roman"/>
          <w:szCs w:val="24"/>
        </w:rPr>
      </w:pPr>
      <w:r w:rsidRPr="00133910">
        <w:rPr>
          <w:rFonts w:cs="Times New Roman"/>
          <w:szCs w:val="24"/>
        </w:rPr>
        <w:t>an</w:t>
      </w:r>
      <w:r>
        <w:rPr>
          <w:rFonts w:cs="Times New Roman"/>
          <w:szCs w:val="24"/>
        </w:rPr>
        <w:t>yja neve</w:t>
      </w:r>
      <w:r w:rsidRPr="00133910">
        <w:rPr>
          <w:rFonts w:cs="Times New Roman"/>
          <w:szCs w:val="24"/>
        </w:rPr>
        <w:t xml:space="preserve">.: </w:t>
      </w:r>
      <w:r w:rsidRPr="00133910">
        <w:rPr>
          <w:rFonts w:cs="Times New Roman"/>
          <w:szCs w:val="24"/>
          <w:highlight w:val="yellow"/>
        </w:rPr>
        <w:t>……………………..</w:t>
      </w:r>
      <w:r w:rsidRPr="00133910">
        <w:rPr>
          <w:rFonts w:cs="Times New Roman"/>
          <w:szCs w:val="24"/>
        </w:rPr>
        <w:t xml:space="preserve"> </w:t>
      </w:r>
    </w:p>
    <w:p w14:paraId="661A9E99" w14:textId="77777777" w:rsidR="00206DD7" w:rsidRDefault="00206DD7" w:rsidP="00206DD7">
      <w:pPr>
        <w:pStyle w:val="Nincstrkz"/>
        <w:spacing w:line="276" w:lineRule="auto"/>
        <w:ind w:left="708"/>
        <w:jc w:val="both"/>
        <w:rPr>
          <w:rFonts w:cs="Times New Roman"/>
          <w:szCs w:val="24"/>
        </w:rPr>
      </w:pPr>
      <w:r w:rsidRPr="00133910">
        <w:rPr>
          <w:rFonts w:cs="Times New Roman"/>
          <w:szCs w:val="24"/>
        </w:rPr>
        <w:t xml:space="preserve">állandó lakcím: </w:t>
      </w:r>
      <w:r w:rsidRPr="00133910">
        <w:rPr>
          <w:rFonts w:cs="Times New Roman"/>
          <w:szCs w:val="24"/>
          <w:highlight w:val="yellow"/>
        </w:rPr>
        <w:t>………………………...</w:t>
      </w:r>
    </w:p>
    <w:p w14:paraId="264347E0" w14:textId="77777777" w:rsidR="00206DD7" w:rsidRPr="00133910" w:rsidRDefault="00206DD7" w:rsidP="00206DD7">
      <w:pPr>
        <w:pStyle w:val="Nincstrkz"/>
        <w:spacing w:line="276" w:lineRule="auto"/>
        <w:jc w:val="both"/>
        <w:rPr>
          <w:rFonts w:cs="Times New Roman"/>
          <w:szCs w:val="24"/>
        </w:rPr>
      </w:pPr>
      <w:r w:rsidRPr="00133910">
        <w:rPr>
          <w:rFonts w:cs="Times New Roman"/>
          <w:szCs w:val="24"/>
        </w:rPr>
        <w:t>az alábbi</w:t>
      </w:r>
    </w:p>
    <w:p w14:paraId="7E2917B7" w14:textId="77777777" w:rsidR="00206DD7" w:rsidRPr="00133910" w:rsidRDefault="00206DD7" w:rsidP="00206DD7">
      <w:pPr>
        <w:pStyle w:val="Nincstrkz"/>
        <w:spacing w:line="276" w:lineRule="auto"/>
        <w:jc w:val="both"/>
        <w:rPr>
          <w:rFonts w:cs="Times New Roman"/>
          <w:szCs w:val="24"/>
        </w:rPr>
      </w:pPr>
    </w:p>
    <w:p w14:paraId="097FC24B" w14:textId="7A6867A3" w:rsidR="00206DD7" w:rsidRPr="00133910" w:rsidRDefault="00045DAE" w:rsidP="00206DD7">
      <w:pPr>
        <w:pStyle w:val="Nincstrkz"/>
        <w:spacing w:line="276" w:lineRule="auto"/>
        <w:jc w:val="center"/>
        <w:rPr>
          <w:rFonts w:cs="Times New Roman"/>
          <w:b/>
          <w:bCs/>
          <w:szCs w:val="24"/>
        </w:rPr>
      </w:pPr>
      <w:r>
        <w:rPr>
          <w:rFonts w:cs="Times New Roman"/>
          <w:b/>
          <w:bCs/>
          <w:szCs w:val="24"/>
        </w:rPr>
        <w:t>p a n a s z t</w:t>
      </w:r>
    </w:p>
    <w:p w14:paraId="054D5FA3" w14:textId="77777777" w:rsidR="00206DD7" w:rsidRPr="00133910" w:rsidRDefault="00206DD7" w:rsidP="00206DD7">
      <w:pPr>
        <w:pStyle w:val="Nincstrkz"/>
        <w:spacing w:line="276" w:lineRule="auto"/>
        <w:jc w:val="both"/>
        <w:rPr>
          <w:rFonts w:cs="Times New Roman"/>
          <w:szCs w:val="24"/>
        </w:rPr>
      </w:pPr>
    </w:p>
    <w:p w14:paraId="045AA006" w14:textId="6C9D16A1" w:rsidR="00206DD7" w:rsidRPr="00133910" w:rsidRDefault="00206DD7" w:rsidP="00206DD7">
      <w:pPr>
        <w:pStyle w:val="Nincstrkz"/>
        <w:spacing w:line="276" w:lineRule="auto"/>
        <w:jc w:val="both"/>
        <w:rPr>
          <w:rFonts w:cs="Times New Roman"/>
          <w:szCs w:val="24"/>
        </w:rPr>
      </w:pPr>
      <w:r w:rsidRPr="00133910">
        <w:rPr>
          <w:rFonts w:cs="Times New Roman"/>
          <w:szCs w:val="24"/>
        </w:rPr>
        <w:t xml:space="preserve">terjesztem elő </w:t>
      </w:r>
      <w:r w:rsidR="00045DAE">
        <w:rPr>
          <w:rFonts w:cs="Times New Roman"/>
          <w:szCs w:val="24"/>
        </w:rPr>
        <w:t xml:space="preserve">a Tisztelt Rendőrkapitányság által …… szám alatt hozott, a feljelentésemre </w:t>
      </w:r>
      <w:r w:rsidRPr="00133910">
        <w:rPr>
          <w:rFonts w:cs="Times New Roman"/>
          <w:szCs w:val="24"/>
        </w:rPr>
        <w:t xml:space="preserve">ismeretlen tettesekkel szemben a Büntető Törvénykönyvről szóló 2012. évi C. törvény (a továbbiakban: Btk.) 219. § (1) bekezdés a) pontjába ütköző, az (1) és (3) bekezdése szerint minősülő személyes adattal visszaélés vétsége miatt </w:t>
      </w:r>
      <w:r w:rsidR="00045DAE">
        <w:rPr>
          <w:rFonts w:cs="Times New Roman"/>
          <w:szCs w:val="24"/>
        </w:rPr>
        <w:t xml:space="preserve">indult eljárásban hozott, az eljárást bűncselekmény hiányában megszüntető végzés ellen a büntetőeljárásról szóló </w:t>
      </w:r>
      <w:r w:rsidR="00045DAE" w:rsidRPr="00045DAE">
        <w:rPr>
          <w:rFonts w:cs="Times New Roman"/>
          <w:szCs w:val="24"/>
        </w:rPr>
        <w:t>2017. évi XC. törvény</w:t>
      </w:r>
      <w:r w:rsidR="00045DAE">
        <w:rPr>
          <w:rFonts w:cs="Times New Roman"/>
          <w:szCs w:val="24"/>
        </w:rPr>
        <w:t xml:space="preserve"> </w:t>
      </w:r>
      <w:r w:rsidR="00045DAE" w:rsidRPr="00045DAE">
        <w:rPr>
          <w:rFonts w:cs="Times New Roman"/>
          <w:szCs w:val="24"/>
        </w:rPr>
        <w:t>369. § (1) bekezdése alapján</w:t>
      </w:r>
      <w:r w:rsidR="00045DAE">
        <w:rPr>
          <w:rFonts w:cs="Times New Roman"/>
          <w:szCs w:val="24"/>
        </w:rPr>
        <w:t>.</w:t>
      </w:r>
    </w:p>
    <w:p w14:paraId="23B9B550" w14:textId="77777777" w:rsidR="00206DD7" w:rsidRPr="00133910" w:rsidRDefault="00206DD7" w:rsidP="00206DD7">
      <w:pPr>
        <w:pStyle w:val="Nincstrkz"/>
        <w:spacing w:line="276" w:lineRule="auto"/>
        <w:jc w:val="both"/>
        <w:rPr>
          <w:rFonts w:cs="Times New Roman"/>
          <w:szCs w:val="24"/>
        </w:rPr>
      </w:pPr>
    </w:p>
    <w:p w14:paraId="511C5C1F" w14:textId="7A16516D" w:rsidR="00206DD7" w:rsidRDefault="00045DAE" w:rsidP="00206DD7">
      <w:pPr>
        <w:pStyle w:val="Nincstrkz"/>
        <w:spacing w:line="276" w:lineRule="auto"/>
        <w:jc w:val="both"/>
        <w:rPr>
          <w:rFonts w:cs="Times New Roman"/>
          <w:szCs w:val="24"/>
        </w:rPr>
      </w:pPr>
      <w:r w:rsidRPr="00045DAE">
        <w:rPr>
          <w:rFonts w:cs="Times New Roman"/>
          <w:szCs w:val="24"/>
        </w:rPr>
        <w:t xml:space="preserve">1. </w:t>
      </w:r>
      <w:r>
        <w:rPr>
          <w:rFonts w:cs="Times New Roman"/>
          <w:szCs w:val="24"/>
        </w:rPr>
        <w:t xml:space="preserve">A Tisztelt Rendőrkapitányság a feljelentésemre indult büntetőeljárást megszüntette, amit álláspontom szerint megalapozatlanul tett meg, ezért </w:t>
      </w:r>
      <w:r w:rsidR="00F02024">
        <w:rPr>
          <w:rFonts w:cs="Times New Roman"/>
          <w:szCs w:val="24"/>
        </w:rPr>
        <w:t>a fenti végzés hatályon kívül helyezésének, a nyomozás folytatásának van helye</w:t>
      </w:r>
      <w:r w:rsidR="00F02024" w:rsidRPr="00F02024">
        <w:rPr>
          <w:rFonts w:cs="Times New Roman"/>
          <w:szCs w:val="24"/>
        </w:rPr>
        <w:t xml:space="preserve"> </w:t>
      </w:r>
      <w:r w:rsidR="00D31A87">
        <w:rPr>
          <w:rFonts w:cs="Times New Roman"/>
          <w:szCs w:val="24"/>
        </w:rPr>
        <w:t xml:space="preserve">– a feljelentésemben már leírtak </w:t>
      </w:r>
      <w:r w:rsidR="009D73E5">
        <w:rPr>
          <w:rFonts w:cs="Times New Roman"/>
          <w:szCs w:val="24"/>
        </w:rPr>
        <w:t xml:space="preserve">fenntartása </w:t>
      </w:r>
      <w:r w:rsidR="00D31A87">
        <w:rPr>
          <w:rFonts w:cs="Times New Roman"/>
          <w:szCs w:val="24"/>
        </w:rPr>
        <w:t xml:space="preserve">mellett – </w:t>
      </w:r>
      <w:r w:rsidR="00F02024" w:rsidRPr="00133910">
        <w:rPr>
          <w:rFonts w:cs="Times New Roman"/>
          <w:szCs w:val="24"/>
        </w:rPr>
        <w:t>az alább</w:t>
      </w:r>
      <w:r w:rsidR="00F02024">
        <w:rPr>
          <w:rFonts w:cs="Times New Roman"/>
          <w:szCs w:val="24"/>
        </w:rPr>
        <w:t xml:space="preserve"> kifejtett indokokból.</w:t>
      </w:r>
    </w:p>
    <w:p w14:paraId="43C0619A" w14:textId="77777777" w:rsidR="00F02024" w:rsidRDefault="00F02024" w:rsidP="00206DD7">
      <w:pPr>
        <w:pStyle w:val="Nincstrkz"/>
        <w:spacing w:line="276" w:lineRule="auto"/>
        <w:jc w:val="both"/>
        <w:rPr>
          <w:rFonts w:cs="Times New Roman"/>
          <w:szCs w:val="24"/>
        </w:rPr>
      </w:pPr>
    </w:p>
    <w:p w14:paraId="4C725CCE" w14:textId="7DD7435F" w:rsidR="00F02024" w:rsidRDefault="00F02024" w:rsidP="00206DD7">
      <w:pPr>
        <w:pStyle w:val="Nincstrkz"/>
        <w:spacing w:line="276" w:lineRule="auto"/>
        <w:jc w:val="both"/>
        <w:rPr>
          <w:rFonts w:cs="Times New Roman"/>
          <w:szCs w:val="24"/>
        </w:rPr>
      </w:pPr>
      <w:r>
        <w:rPr>
          <w:rFonts w:cs="Times New Roman"/>
          <w:szCs w:val="24"/>
        </w:rPr>
        <w:t>2. Az eljárás megszüntetését a végzés arra alapozza, hogy a Btk. 219. § (1) bekezdés szerinti feltételek közül a jelentős érdeksérelem nem állt fenn, mivel a nyomozó hatósági álláspont szerint az ügyben megállapítható, a jogsértésből fakadó hátrányok nem érték el a büntetőjogi értelemben vett jelentős érdeksérelem megállapíthatóságának szintjét. Álláspontom szerint ez a következtetés alapvetően és több okból is téves.</w:t>
      </w:r>
    </w:p>
    <w:p w14:paraId="38556F4C" w14:textId="77777777" w:rsidR="00F02024" w:rsidRDefault="00F02024" w:rsidP="00206DD7">
      <w:pPr>
        <w:pStyle w:val="Nincstrkz"/>
        <w:spacing w:line="276" w:lineRule="auto"/>
        <w:jc w:val="both"/>
        <w:rPr>
          <w:rFonts w:cs="Times New Roman"/>
          <w:szCs w:val="24"/>
        </w:rPr>
      </w:pPr>
    </w:p>
    <w:p w14:paraId="21DF4A7D" w14:textId="3577E857" w:rsidR="00F02024" w:rsidRDefault="00F02024" w:rsidP="00F02024">
      <w:pPr>
        <w:pStyle w:val="Nincstrkz"/>
        <w:spacing w:line="276" w:lineRule="auto"/>
        <w:jc w:val="both"/>
        <w:rPr>
          <w:rFonts w:cs="Times New Roman"/>
          <w:szCs w:val="24"/>
        </w:rPr>
      </w:pPr>
      <w:r>
        <w:rPr>
          <w:rFonts w:cs="Times New Roman"/>
          <w:szCs w:val="24"/>
        </w:rPr>
        <w:t>3. Mindenekelőtt hivatkozom arra, hogy a visszaélés személyes adattal bűncselekmény</w:t>
      </w:r>
      <w:r w:rsidRPr="00133910">
        <w:rPr>
          <w:rFonts w:cs="Times New Roman"/>
          <w:szCs w:val="24"/>
        </w:rPr>
        <w:t xml:space="preserve"> törvényi tényállás keretdiszpozíció, </w:t>
      </w:r>
      <w:r>
        <w:rPr>
          <w:rFonts w:cs="Times New Roman"/>
          <w:szCs w:val="24"/>
        </w:rPr>
        <w:t xml:space="preserve">amelynek </w:t>
      </w:r>
      <w:r w:rsidRPr="00133910">
        <w:rPr>
          <w:rFonts w:cs="Times New Roman"/>
          <w:szCs w:val="24"/>
        </w:rPr>
        <w:t xml:space="preserve">háttérjogszabálya </w:t>
      </w:r>
      <w:r w:rsidR="009D73E5">
        <w:rPr>
          <w:rFonts w:cs="Times New Roman"/>
          <w:szCs w:val="24"/>
        </w:rPr>
        <w:t xml:space="preserve">elsősorban </w:t>
      </w:r>
      <w:r w:rsidRPr="00133910">
        <w:rPr>
          <w:rFonts w:cs="Times New Roman"/>
          <w:szCs w:val="24"/>
        </w:rPr>
        <w:t>az Európai Parlament és a Tanács 2016. április 27-i (EU) 2016/679 rendelete a természetes személyeknek a személyes adatok kezelése tekintetében történő védelméről és az ilyen adatok szabad áramlásáról, valamint a 95/46/EK irányelv hatályon kívül helyezéséről (továbbiakban: GDPR</w:t>
      </w:r>
      <w:r w:rsidR="009D73E5">
        <w:rPr>
          <w:rFonts w:cs="Times New Roman"/>
          <w:szCs w:val="24"/>
        </w:rPr>
        <w:t>)</w:t>
      </w:r>
      <w:r w:rsidRPr="00133910">
        <w:rPr>
          <w:rFonts w:cs="Times New Roman"/>
          <w:szCs w:val="24"/>
        </w:rPr>
        <w:t>. A GDPR uniós rendeleti jogforrás, ezért közvetlen hatálya és elsőbbsége van a belső jogban is</w:t>
      </w:r>
      <w:r w:rsidR="006E5646">
        <w:rPr>
          <w:rFonts w:cs="Times New Roman"/>
          <w:szCs w:val="24"/>
        </w:rPr>
        <w:t xml:space="preserve">, a feljelentésben megjelölt bűncselekménnyel érintett adatkezelés pedig egyértelműen a GDPR </w:t>
      </w:r>
      <w:r w:rsidR="006E5646">
        <w:rPr>
          <w:rFonts w:cs="Times New Roman"/>
          <w:szCs w:val="24"/>
        </w:rPr>
        <w:lastRenderedPageBreak/>
        <w:t>hatálya alá tartozik, bármilyen tevékenység keretében jutottak is hozzá a bűncselekmény elkövetői az általuk közzétett személyes adataimhoz.</w:t>
      </w:r>
    </w:p>
    <w:p w14:paraId="04D767EA" w14:textId="77777777" w:rsidR="00271A85" w:rsidRDefault="00271A85" w:rsidP="00F02024">
      <w:pPr>
        <w:pStyle w:val="Nincstrkz"/>
        <w:spacing w:line="276" w:lineRule="auto"/>
        <w:jc w:val="both"/>
        <w:rPr>
          <w:rFonts w:cs="Times New Roman"/>
          <w:szCs w:val="24"/>
        </w:rPr>
      </w:pPr>
    </w:p>
    <w:p w14:paraId="7C90F206" w14:textId="5AE878E8" w:rsidR="006E5646" w:rsidRDefault="006E5646" w:rsidP="00F02024">
      <w:pPr>
        <w:pStyle w:val="Nincstrkz"/>
        <w:spacing w:line="276" w:lineRule="auto"/>
        <w:jc w:val="both"/>
        <w:rPr>
          <w:rFonts w:cs="Times New Roman"/>
          <w:szCs w:val="24"/>
        </w:rPr>
      </w:pPr>
      <w:r>
        <w:rPr>
          <w:rFonts w:cs="Times New Roman"/>
          <w:szCs w:val="24"/>
        </w:rPr>
        <w:t>4. Ebből következően az engem ért érdeksérelem súlyosságá</w:t>
      </w:r>
      <w:r w:rsidR="00482B68">
        <w:rPr>
          <w:rFonts w:cs="Times New Roman"/>
          <w:szCs w:val="24"/>
        </w:rPr>
        <w:t>t is</w:t>
      </w:r>
      <w:r>
        <w:rPr>
          <w:rFonts w:cs="Times New Roman"/>
          <w:szCs w:val="24"/>
        </w:rPr>
        <w:t xml:space="preserve"> elsősorban a GDPR rendelkezései és azok értelmezési gyakorlata alapján kell megítélni. Ebből a szempontból pedig politikai véleményre vonatkozó különleges adatok korlátozás nélküli nyilvánosságra hozásával járó, egyben a személyazonosságom és a lakóhelyem (így </w:t>
      </w:r>
      <w:r w:rsidR="009D73E5">
        <w:rPr>
          <w:rFonts w:cs="Times New Roman"/>
          <w:szCs w:val="24"/>
        </w:rPr>
        <w:t xml:space="preserve">otthonom, </w:t>
      </w:r>
      <w:r>
        <w:rPr>
          <w:rFonts w:cs="Times New Roman"/>
          <w:szCs w:val="24"/>
        </w:rPr>
        <w:t>fizikai hollétem) megállapítására is alkalmas jogellenes adatpublikáció bizonyosan súlyos jogsértésnek minősül</w:t>
      </w:r>
      <w:r w:rsidR="00D31A87">
        <w:rPr>
          <w:rFonts w:cs="Times New Roman"/>
          <w:szCs w:val="24"/>
        </w:rPr>
        <w:t xml:space="preserve"> a következők okok </w:t>
      </w:r>
      <w:r w:rsidR="009D73E5">
        <w:rPr>
          <w:rFonts w:cs="Times New Roman"/>
          <w:szCs w:val="24"/>
        </w:rPr>
        <w:t>mindegyike</w:t>
      </w:r>
      <w:r w:rsidR="00D31A87">
        <w:rPr>
          <w:rFonts w:cs="Times New Roman"/>
          <w:szCs w:val="24"/>
        </w:rPr>
        <w:t xml:space="preserve"> alapján</w:t>
      </w:r>
      <w:r w:rsidR="0047744D">
        <w:rPr>
          <w:rFonts w:cs="Times New Roman"/>
          <w:szCs w:val="24"/>
        </w:rPr>
        <w:t xml:space="preserve"> külön-külön mérlegelve is</w:t>
      </w:r>
      <w:r w:rsidR="00D31A87">
        <w:rPr>
          <w:rFonts w:cs="Times New Roman"/>
          <w:szCs w:val="24"/>
        </w:rPr>
        <w:t>:</w:t>
      </w:r>
    </w:p>
    <w:p w14:paraId="46BE4DC2" w14:textId="77777777" w:rsidR="00271A85" w:rsidRDefault="00271A85" w:rsidP="00F02024">
      <w:pPr>
        <w:pStyle w:val="Nincstrkz"/>
        <w:spacing w:line="276" w:lineRule="auto"/>
        <w:jc w:val="both"/>
        <w:rPr>
          <w:rFonts w:cs="Times New Roman"/>
          <w:szCs w:val="24"/>
        </w:rPr>
      </w:pPr>
    </w:p>
    <w:p w14:paraId="79995237" w14:textId="77777777" w:rsidR="0047744D" w:rsidRDefault="006E5646" w:rsidP="00F02024">
      <w:pPr>
        <w:pStyle w:val="Nincstrkz"/>
        <w:spacing w:line="276" w:lineRule="auto"/>
        <w:jc w:val="both"/>
        <w:rPr>
          <w:rFonts w:cs="Times New Roman"/>
          <w:spacing w:val="-2"/>
          <w:szCs w:val="24"/>
        </w:rPr>
      </w:pPr>
      <w:r w:rsidRPr="009D73E5">
        <w:rPr>
          <w:rFonts w:cs="Times New Roman"/>
          <w:spacing w:val="-2"/>
          <w:szCs w:val="24"/>
        </w:rPr>
        <w:t xml:space="preserve">a) </w:t>
      </w:r>
      <w:r w:rsidR="00D31A87" w:rsidRPr="009D73E5">
        <w:rPr>
          <w:rFonts w:cs="Times New Roman"/>
          <w:spacing w:val="-2"/>
          <w:szCs w:val="24"/>
        </w:rPr>
        <w:t>E</w:t>
      </w:r>
      <w:r w:rsidRPr="009D73E5">
        <w:rPr>
          <w:rFonts w:cs="Times New Roman"/>
          <w:spacing w:val="-2"/>
          <w:szCs w:val="24"/>
        </w:rPr>
        <w:t>zen adatok kezelése a GDPR</w:t>
      </w:r>
      <w:r w:rsidR="00D31A87" w:rsidRPr="009D73E5">
        <w:rPr>
          <w:rFonts w:cs="Times New Roman"/>
          <w:spacing w:val="-2"/>
          <w:szCs w:val="24"/>
        </w:rPr>
        <w:t xml:space="preserve"> </w:t>
      </w:r>
      <w:r w:rsidR="00271A85" w:rsidRPr="009D73E5">
        <w:rPr>
          <w:rFonts w:cs="Times New Roman"/>
          <w:spacing w:val="-2"/>
          <w:szCs w:val="24"/>
        </w:rPr>
        <w:t>szerint</w:t>
      </w:r>
      <w:r w:rsidR="00D31A87" w:rsidRPr="009D73E5">
        <w:rPr>
          <w:rFonts w:cs="Times New Roman"/>
          <w:spacing w:val="-2"/>
          <w:szCs w:val="24"/>
        </w:rPr>
        <w:t xml:space="preserve"> még jogszerű adatkezelés mellett is magas kockázatúnak minősül, amit egyértelművé tesz a GDPR 35. cikk (3) bekezdés b) pontja, amely a magas kockázatú – és ezért előzetes kötelező adatvédelmi hatásvizsgálathoz kötött – adatkezelések közé sorolja a </w:t>
      </w:r>
      <w:r w:rsidR="00094B76">
        <w:rPr>
          <w:rFonts w:cs="Times New Roman"/>
          <w:spacing w:val="-2"/>
          <w:szCs w:val="24"/>
        </w:rPr>
        <w:t xml:space="preserve">GDPR 9. cikke szerinti </w:t>
      </w:r>
      <w:r w:rsidR="00D31A87" w:rsidRPr="009D73E5">
        <w:rPr>
          <w:rFonts w:cs="Times New Roman"/>
          <w:spacing w:val="-2"/>
          <w:szCs w:val="24"/>
        </w:rPr>
        <w:t xml:space="preserve">különleges adatok, így az ügyemben érintett politikai véleménnyel összefüggő </w:t>
      </w:r>
      <w:r w:rsidR="00094B76">
        <w:rPr>
          <w:rFonts w:cs="Times New Roman"/>
          <w:spacing w:val="-2"/>
          <w:szCs w:val="24"/>
        </w:rPr>
        <w:t xml:space="preserve">személyes </w:t>
      </w:r>
      <w:r w:rsidR="00D31A87" w:rsidRPr="009D73E5">
        <w:rPr>
          <w:rFonts w:cs="Times New Roman"/>
          <w:spacing w:val="-2"/>
          <w:szCs w:val="24"/>
        </w:rPr>
        <w:t xml:space="preserve">adatok nagy számban történő kezelését. </w:t>
      </w:r>
      <w:r w:rsidR="00596BC8" w:rsidRPr="009D73E5">
        <w:rPr>
          <w:rFonts w:cs="Times New Roman"/>
          <w:spacing w:val="-2"/>
          <w:szCs w:val="24"/>
        </w:rPr>
        <w:t>Bár jelen esetben ez is megvalósult, hiszen nagyszámú adat került így nyilvánosságra, de e</w:t>
      </w:r>
      <w:r w:rsidR="00D31A87" w:rsidRPr="009D73E5">
        <w:rPr>
          <w:rFonts w:cs="Times New Roman"/>
          <w:spacing w:val="-2"/>
          <w:szCs w:val="24"/>
        </w:rPr>
        <w:t>mellett a WP</w:t>
      </w:r>
      <w:r w:rsidR="00596BC8" w:rsidRPr="009D73E5">
        <w:rPr>
          <w:rFonts w:cs="Times New Roman"/>
          <w:spacing w:val="-2"/>
          <w:szCs w:val="24"/>
        </w:rPr>
        <w:t>248 számú iránymutatás</w:t>
      </w:r>
      <w:r w:rsidR="00596BC8" w:rsidRPr="009D73E5">
        <w:rPr>
          <w:rStyle w:val="Lbjegyzet-hivatkozs"/>
          <w:rFonts w:cs="Times New Roman"/>
          <w:spacing w:val="-2"/>
          <w:szCs w:val="24"/>
        </w:rPr>
        <w:footnoteReference w:id="1"/>
      </w:r>
      <w:r w:rsidR="00596BC8" w:rsidRPr="009D73E5">
        <w:rPr>
          <w:rFonts w:cs="Times New Roman"/>
          <w:spacing w:val="-2"/>
          <w:szCs w:val="24"/>
        </w:rPr>
        <w:t xml:space="preserve"> B) rész a) pont 4. alpontja alapján a kezelt adatok számától függetlenül is magas kockázatú különleges adatok vagy fokozottan személyes jellegű adatok esetében, és „</w:t>
      </w:r>
      <w:r w:rsidR="00596BC8" w:rsidRPr="009D73E5">
        <w:rPr>
          <w:rFonts w:cs="Times New Roman"/>
          <w:i/>
          <w:iCs/>
          <w:spacing w:val="-2"/>
          <w:szCs w:val="24"/>
        </w:rPr>
        <w:t>ide tartoznak a személyes adatok 9. cikkben meghatározott különleges kategóriái (például az egyének politikai véleményére vonatkozó adatok)</w:t>
      </w:r>
      <w:r w:rsidR="00094B76">
        <w:rPr>
          <w:rFonts w:cs="Times New Roman"/>
          <w:i/>
          <w:iCs/>
          <w:spacing w:val="-2"/>
          <w:szCs w:val="24"/>
        </w:rPr>
        <w:t>”</w:t>
      </w:r>
      <w:r w:rsidR="00094B76" w:rsidRPr="00094B76">
        <w:rPr>
          <w:rFonts w:cs="Times New Roman"/>
          <w:spacing w:val="-2"/>
          <w:szCs w:val="24"/>
        </w:rPr>
        <w:t xml:space="preserve">, és </w:t>
      </w:r>
      <w:r w:rsidR="00094B76">
        <w:rPr>
          <w:rFonts w:cs="Times New Roman"/>
          <w:i/>
          <w:iCs/>
          <w:spacing w:val="-2"/>
          <w:szCs w:val="24"/>
        </w:rPr>
        <w:t>„</w:t>
      </w:r>
      <w:r w:rsidR="00596BC8" w:rsidRPr="009D73E5">
        <w:rPr>
          <w:rFonts w:cs="Times New Roman"/>
          <w:i/>
          <w:iCs/>
          <w:spacing w:val="-2"/>
          <w:szCs w:val="24"/>
        </w:rPr>
        <w:t>lényeges lehet, hogy az érintett vagy valamely harmadik személy már nyilvánosan hozzáférhetővé tette-e az adatokat. A személyes adatok nyilvános hozzáférhetősége az értékelés során egyik tényezőként figyelembe vehető, ha az adatok bizonyos célú további felhasználására lehet számítani.</w:t>
      </w:r>
      <w:r w:rsidR="00596BC8" w:rsidRPr="009D73E5">
        <w:rPr>
          <w:rFonts w:cs="Times New Roman"/>
          <w:spacing w:val="-2"/>
          <w:szCs w:val="24"/>
        </w:rPr>
        <w:t xml:space="preserve">” </w:t>
      </w:r>
    </w:p>
    <w:p w14:paraId="773AED01" w14:textId="77777777" w:rsidR="0047744D" w:rsidRDefault="0047744D" w:rsidP="00F02024">
      <w:pPr>
        <w:pStyle w:val="Nincstrkz"/>
        <w:spacing w:line="276" w:lineRule="auto"/>
        <w:jc w:val="both"/>
        <w:rPr>
          <w:rFonts w:cs="Times New Roman"/>
          <w:spacing w:val="-2"/>
          <w:szCs w:val="24"/>
        </w:rPr>
      </w:pPr>
    </w:p>
    <w:p w14:paraId="0B54EE34" w14:textId="1DA22345" w:rsidR="00271A85" w:rsidRPr="0047744D" w:rsidRDefault="00596BC8" w:rsidP="00F02024">
      <w:pPr>
        <w:pStyle w:val="Nincstrkz"/>
        <w:spacing w:line="276" w:lineRule="auto"/>
        <w:jc w:val="both"/>
        <w:rPr>
          <w:rFonts w:cs="Times New Roman"/>
          <w:b/>
          <w:bCs/>
          <w:spacing w:val="-2"/>
          <w:szCs w:val="24"/>
        </w:rPr>
      </w:pPr>
      <w:r w:rsidRPr="009D73E5">
        <w:rPr>
          <w:rFonts w:cs="Times New Roman"/>
          <w:spacing w:val="-2"/>
          <w:szCs w:val="24"/>
        </w:rPr>
        <w:t>A nyilvánosságra hoz</w:t>
      </w:r>
      <w:r w:rsidR="0047744D">
        <w:rPr>
          <w:rFonts w:cs="Times New Roman"/>
          <w:spacing w:val="-2"/>
          <w:szCs w:val="24"/>
        </w:rPr>
        <w:t>atal</w:t>
      </w:r>
      <w:r w:rsidRPr="009D73E5">
        <w:rPr>
          <w:rFonts w:cs="Times New Roman"/>
          <w:spacing w:val="-2"/>
          <w:szCs w:val="24"/>
        </w:rPr>
        <w:t xml:space="preserve"> </w:t>
      </w:r>
      <w:r w:rsidR="000D4DA0" w:rsidRPr="009D73E5">
        <w:rPr>
          <w:rFonts w:cs="Times New Roman"/>
          <w:spacing w:val="-2"/>
          <w:szCs w:val="24"/>
        </w:rPr>
        <w:t xml:space="preserve">jelen ügyben </w:t>
      </w:r>
      <w:r w:rsidRPr="009D73E5">
        <w:rPr>
          <w:rFonts w:cs="Times New Roman"/>
          <w:spacing w:val="-2"/>
          <w:szCs w:val="24"/>
        </w:rPr>
        <w:t xml:space="preserve">bizonyosan megtörtént, a további felhasználásra az adatbázisban szereplő adatok esetében pedig nem egyszerűen számítani lehet, hanem azt biztosra lehet venni, ami akár évekkel később is megtörténhet, ha az adatbázisban szereplő bármely személy érdekessé válik az adatbázist letöltő </w:t>
      </w:r>
      <w:r w:rsidR="000D4DA0" w:rsidRPr="009D73E5">
        <w:rPr>
          <w:rFonts w:cs="Times New Roman"/>
          <w:spacing w:val="-2"/>
          <w:szCs w:val="24"/>
        </w:rPr>
        <w:t xml:space="preserve">és megőrző </w:t>
      </w:r>
      <w:r w:rsidRPr="009D73E5">
        <w:rPr>
          <w:rFonts w:cs="Times New Roman"/>
          <w:spacing w:val="-2"/>
          <w:szCs w:val="24"/>
        </w:rPr>
        <w:t>személy</w:t>
      </w:r>
      <w:r w:rsidR="00271A85" w:rsidRPr="009D73E5">
        <w:rPr>
          <w:rFonts w:cs="Times New Roman"/>
          <w:spacing w:val="-2"/>
          <w:szCs w:val="24"/>
        </w:rPr>
        <w:t>ek</w:t>
      </w:r>
      <w:r w:rsidRPr="009D73E5">
        <w:rPr>
          <w:rFonts w:cs="Times New Roman"/>
          <w:spacing w:val="-2"/>
          <w:szCs w:val="24"/>
        </w:rPr>
        <w:t xml:space="preserve"> számára, </w:t>
      </w:r>
      <w:r w:rsidR="000D4DA0" w:rsidRPr="009D73E5">
        <w:rPr>
          <w:rFonts w:cs="Times New Roman"/>
          <w:spacing w:val="-2"/>
          <w:szCs w:val="24"/>
        </w:rPr>
        <w:t xml:space="preserve">amit az adatbázisból dolgozó sajtócikkek </w:t>
      </w:r>
      <w:r w:rsidR="00094B76">
        <w:rPr>
          <w:rFonts w:cs="Times New Roman"/>
          <w:spacing w:val="-2"/>
          <w:szCs w:val="24"/>
        </w:rPr>
        <w:t xml:space="preserve">sora </w:t>
      </w:r>
      <w:r w:rsidR="000D4DA0" w:rsidRPr="009D73E5">
        <w:rPr>
          <w:rFonts w:cs="Times New Roman"/>
          <w:spacing w:val="-2"/>
          <w:szCs w:val="24"/>
        </w:rPr>
        <w:t>bizonyít</w:t>
      </w:r>
      <w:r w:rsidRPr="009D73E5">
        <w:rPr>
          <w:rFonts w:cs="Times New Roman"/>
          <w:spacing w:val="-2"/>
          <w:szCs w:val="24"/>
        </w:rPr>
        <w:t>.</w:t>
      </w:r>
      <w:r w:rsidR="0047744D">
        <w:rPr>
          <w:rFonts w:cs="Times New Roman"/>
          <w:spacing w:val="-2"/>
          <w:szCs w:val="24"/>
        </w:rPr>
        <w:t xml:space="preserve"> </w:t>
      </w:r>
      <w:r w:rsidR="0047744D" w:rsidRPr="0047744D">
        <w:rPr>
          <w:rFonts w:cs="Times New Roman"/>
          <w:b/>
          <w:bCs/>
          <w:spacing w:val="-2"/>
          <w:szCs w:val="24"/>
        </w:rPr>
        <w:t>Magas kockázatú különleges adat tömeges és nyilvános</w:t>
      </w:r>
      <w:r w:rsidR="0047744D">
        <w:rPr>
          <w:rFonts w:cs="Times New Roman"/>
          <w:b/>
          <w:bCs/>
          <w:spacing w:val="-2"/>
          <w:szCs w:val="24"/>
        </w:rPr>
        <w:t>ságra hozatal útján megvalósított</w:t>
      </w:r>
      <w:r w:rsidR="0047744D" w:rsidRPr="0047744D">
        <w:rPr>
          <w:rFonts w:cs="Times New Roman"/>
          <w:b/>
          <w:bCs/>
          <w:spacing w:val="-2"/>
          <w:szCs w:val="24"/>
        </w:rPr>
        <w:t xml:space="preserve"> jogellenes kezelése álláspontom szerint szükségszerűen jelentős érdeksérelmet okoz, éppen ezért magas kockázatú az adat.</w:t>
      </w:r>
    </w:p>
    <w:p w14:paraId="742533E8" w14:textId="77777777" w:rsidR="00271A85" w:rsidRDefault="00271A85" w:rsidP="00271A85">
      <w:pPr>
        <w:pStyle w:val="Nincstrkz"/>
        <w:spacing w:line="276" w:lineRule="auto"/>
        <w:jc w:val="both"/>
        <w:rPr>
          <w:rFonts w:cs="Times New Roman"/>
          <w:szCs w:val="24"/>
        </w:rPr>
      </w:pPr>
    </w:p>
    <w:p w14:paraId="0BF8FCF6" w14:textId="77777777" w:rsidR="0047744D" w:rsidRDefault="00271A85" w:rsidP="00271A85">
      <w:pPr>
        <w:pStyle w:val="Nincstrkz"/>
        <w:spacing w:line="276" w:lineRule="auto"/>
        <w:jc w:val="both"/>
        <w:rPr>
          <w:rFonts w:cs="Times New Roman"/>
          <w:spacing w:val="-4"/>
          <w:szCs w:val="24"/>
        </w:rPr>
      </w:pPr>
      <w:r w:rsidRPr="009D73E5">
        <w:rPr>
          <w:rFonts w:cs="Times New Roman"/>
          <w:spacing w:val="-4"/>
          <w:szCs w:val="24"/>
        </w:rPr>
        <w:t xml:space="preserve">b) A GDPR szövege és az </w:t>
      </w:r>
      <w:r w:rsidRPr="0047744D">
        <w:rPr>
          <w:rFonts w:cs="Times New Roman"/>
          <w:b/>
          <w:bCs/>
          <w:spacing w:val="-4"/>
          <w:szCs w:val="24"/>
        </w:rPr>
        <w:t>Európai Bíróság (EUB) annak alkalmazására vonatkozó gyakorlata alapján is egyértelmű, hogy az érdeksérelem jellegére és súlyára tekintettel kártérítésre lennék jogosult a jogsértőkkel szemben</w:t>
      </w:r>
      <w:r w:rsidRPr="009D73E5">
        <w:rPr>
          <w:rFonts w:cs="Times New Roman"/>
          <w:spacing w:val="-4"/>
          <w:szCs w:val="24"/>
        </w:rPr>
        <w:t xml:space="preserve"> – ha azok személyét azonosítani tudnám, ami büntetőeljárás lefolytatása nélkül szinte lehetetlen. </w:t>
      </w:r>
      <w:r w:rsidR="0047744D" w:rsidRPr="0047744D">
        <w:rPr>
          <w:rFonts w:cs="Times New Roman"/>
          <w:b/>
          <w:bCs/>
          <w:spacing w:val="-4"/>
          <w:szCs w:val="24"/>
        </w:rPr>
        <w:t>Az pedig egyértelműnek tűnik, hogy jelentősnek kell minősíteni azt az érdeksérelmet, amely kártérítéssel kompenzálandó.</w:t>
      </w:r>
      <w:r w:rsidR="0047744D">
        <w:rPr>
          <w:rFonts w:cs="Times New Roman"/>
          <w:spacing w:val="-4"/>
          <w:szCs w:val="24"/>
        </w:rPr>
        <w:t xml:space="preserve"> </w:t>
      </w:r>
    </w:p>
    <w:p w14:paraId="11E7D55D" w14:textId="77777777" w:rsidR="0047744D" w:rsidRDefault="0047744D" w:rsidP="00271A85">
      <w:pPr>
        <w:pStyle w:val="Nincstrkz"/>
        <w:spacing w:line="276" w:lineRule="auto"/>
        <w:jc w:val="both"/>
        <w:rPr>
          <w:rFonts w:cs="Times New Roman"/>
          <w:spacing w:val="-4"/>
          <w:szCs w:val="24"/>
        </w:rPr>
      </w:pPr>
    </w:p>
    <w:p w14:paraId="6CD9A12C" w14:textId="6A0D0E3B" w:rsidR="006E5646" w:rsidRPr="009D73E5" w:rsidRDefault="006E5646" w:rsidP="00271A85">
      <w:pPr>
        <w:pStyle w:val="Nincstrkz"/>
        <w:spacing w:line="276" w:lineRule="auto"/>
        <w:jc w:val="both"/>
        <w:rPr>
          <w:rFonts w:cs="Times New Roman"/>
          <w:spacing w:val="-4"/>
          <w:szCs w:val="24"/>
        </w:rPr>
      </w:pPr>
      <w:r w:rsidRPr="009D73E5">
        <w:rPr>
          <w:rFonts w:cs="Times New Roman"/>
          <w:spacing w:val="-4"/>
          <w:szCs w:val="24"/>
        </w:rPr>
        <w:t xml:space="preserve">Az EUB a C-300/21. számú ügyben hozott ítéletében kimondta, hogy a GDPR rendelkezéseinek a puszta megsértése nem elegendő ahhoz, hogy a GDPR 82. cikk (1) bekezdésében megfogalmazott </w:t>
      </w:r>
      <w:r w:rsidRPr="009D73E5">
        <w:rPr>
          <w:rFonts w:cs="Times New Roman"/>
          <w:spacing w:val="-4"/>
          <w:szCs w:val="24"/>
        </w:rPr>
        <w:lastRenderedPageBreak/>
        <w:t xml:space="preserve">kártérítési jogot keletkeztessen (Indokolás, 42. pont), a GDPR 82. cikk (1) bekezdésével azonban ellentétes minden olyan nemzeti szabály vagy gyakorlat, amely az e rendelkezés értelmében vett nem vagyoni kár megtérítését annak a feltételnek rendeli alá, hogy az érintett által elszenvedett kárnak el kell érnie egy bizonyos súlyossági küszöböt (Indokolás, 51. pont). </w:t>
      </w:r>
      <w:r w:rsidR="00271A85" w:rsidRPr="009D73E5">
        <w:rPr>
          <w:rFonts w:cs="Times New Roman"/>
          <w:spacing w:val="-4"/>
          <w:szCs w:val="24"/>
        </w:rPr>
        <w:t>Az EUB rámutatott, hogy nem zárja ki semmi, hogy önmagában a személyes adatoknak az interneten való közzététele és az azok feletti rendelkezés ebből következő, rövid időn keresztül történő elvesztése az érintettek számára a GDPR 82. cikkének (1) bekezdése értelmében vett, kártérítésre jogosító „nem vagyoni kárt” okozzon, (ehhez azonban) az is szükséges, hogy e személyek bizonyítsák, hogy ténylegesen ilyen kárt szenvedtek el, bármilyen csekély is legyen az; a „nem vagyoni kár” e fogalma (pedig) nem igényli további érzékelhető negatív következmények fennállásának bizonyítását. (C-200/23. számú ügyben hozott ítélet, Indokolás, 150., 156. pontok). A nem vagyoni kár e fogalma magában foglalja az érintett által a személyes adatainak harmadik személy részére történő jogosulatlan továbbítása következtében megtapasztalt olyan negatív érzéseket, mint a félelem vagy a harag, amelyeket az ezen adatok feletti rendelkezés elvesztése, azok esetleges visszaélésszerű felhasználása vagy a jóhírnevének sérelme vált ki (C-655/23. számú ügyben hozott ítélet, Indokolás 64. pont). Mi több, a kártérítéséhez való jog megalapozásához elegendő az, hogy valamely személy attól tart, hogy személyes adatait e rendelet megsértése miatt harmadik személyekkel közölték, anélkül hogy megállapítható lenne, hogy erre ténylegesen sor került, amennyiben e félelem – annak negatív következményeivel együtt – megfelelően bizonyított (C‑590/22 számú ügyben hozott ítélet, Indokolás, 36. pont).</w:t>
      </w:r>
    </w:p>
    <w:p w14:paraId="518FBB8D" w14:textId="77777777" w:rsidR="00271A85" w:rsidRDefault="00271A85" w:rsidP="00271A85">
      <w:pPr>
        <w:pStyle w:val="Nincstrkz"/>
        <w:spacing w:line="276" w:lineRule="auto"/>
        <w:jc w:val="both"/>
        <w:rPr>
          <w:rFonts w:cs="Times New Roman"/>
          <w:szCs w:val="24"/>
        </w:rPr>
      </w:pPr>
    </w:p>
    <w:p w14:paraId="1B735CF7" w14:textId="77777777" w:rsidR="001D4A83" w:rsidRDefault="00482B68" w:rsidP="009D73E5">
      <w:pPr>
        <w:pStyle w:val="Nincstrkz"/>
        <w:spacing w:line="276" w:lineRule="auto"/>
        <w:jc w:val="both"/>
        <w:rPr>
          <w:rFonts w:cs="Times New Roman"/>
          <w:szCs w:val="24"/>
        </w:rPr>
      </w:pPr>
      <w:r>
        <w:rPr>
          <w:rFonts w:cs="Times New Roman"/>
          <w:szCs w:val="24"/>
        </w:rPr>
        <w:t xml:space="preserve">4. </w:t>
      </w:r>
      <w:r w:rsidR="00271A85">
        <w:rPr>
          <w:rFonts w:cs="Times New Roman"/>
          <w:szCs w:val="24"/>
        </w:rPr>
        <w:t xml:space="preserve">A felhívott </w:t>
      </w:r>
      <w:r>
        <w:rPr>
          <w:rFonts w:cs="Times New Roman"/>
          <w:szCs w:val="24"/>
        </w:rPr>
        <w:t>adatvédelmi</w:t>
      </w:r>
      <w:r w:rsidR="00271A85">
        <w:rPr>
          <w:rFonts w:cs="Times New Roman"/>
          <w:szCs w:val="24"/>
        </w:rPr>
        <w:t xml:space="preserve"> joggyakorlattól függetlenül is </w:t>
      </w:r>
      <w:r w:rsidR="00271A85" w:rsidRPr="001D4A83">
        <w:rPr>
          <w:rFonts w:cs="Times New Roman"/>
          <w:b/>
          <w:bCs/>
          <w:szCs w:val="24"/>
        </w:rPr>
        <w:t>ellentétes a józan</w:t>
      </w:r>
      <w:r w:rsidR="0047744D" w:rsidRPr="001D4A83">
        <w:rPr>
          <w:rFonts w:cs="Times New Roman"/>
          <w:b/>
          <w:bCs/>
          <w:szCs w:val="24"/>
        </w:rPr>
        <w:t xml:space="preserve"> </w:t>
      </w:r>
      <w:r w:rsidR="00271A85" w:rsidRPr="001D4A83">
        <w:rPr>
          <w:rFonts w:cs="Times New Roman"/>
          <w:b/>
          <w:bCs/>
          <w:szCs w:val="24"/>
        </w:rPr>
        <w:t>ésszel</w:t>
      </w:r>
      <w:r w:rsidR="00271A85">
        <w:rPr>
          <w:rFonts w:cs="Times New Roman"/>
          <w:szCs w:val="24"/>
        </w:rPr>
        <w:t xml:space="preserve"> és </w:t>
      </w:r>
      <w:r w:rsidR="00604046">
        <w:rPr>
          <w:rFonts w:cs="Times New Roman"/>
          <w:szCs w:val="24"/>
        </w:rPr>
        <w:t xml:space="preserve">a Kúriának az érintett büntetőtényállás tekintetében irányadó gyakorlatával is, hogy </w:t>
      </w:r>
      <w:r w:rsidR="00604046" w:rsidRPr="001D4A83">
        <w:rPr>
          <w:rFonts w:cs="Times New Roman"/>
          <w:b/>
          <w:bCs/>
          <w:szCs w:val="24"/>
        </w:rPr>
        <w:t>politikai véleményre vonatkozó különleges adat</w:t>
      </w:r>
      <w:r w:rsidR="000D4DA0" w:rsidRPr="001D4A83">
        <w:rPr>
          <w:rFonts w:cs="Times New Roman"/>
          <w:b/>
          <w:bCs/>
          <w:szCs w:val="24"/>
        </w:rPr>
        <w:t>aim</w:t>
      </w:r>
      <w:r w:rsidR="00604046" w:rsidRPr="001D4A83">
        <w:rPr>
          <w:rFonts w:cs="Times New Roman"/>
          <w:b/>
          <w:bCs/>
          <w:szCs w:val="24"/>
        </w:rPr>
        <w:t xml:space="preserve"> szándékos, személyazonosításomat és lakóhelyem megtalálását is lehetővé tevő, ráadásul a térképes kereshető közzétételi forma miatt ezekre a közzétett adatok nagy száma miatt is alkalmas közzététellel megvalósuló jogsértés ne okozna egyéni</w:t>
      </w:r>
      <w:r w:rsidRPr="001D4A83">
        <w:rPr>
          <w:rFonts w:cs="Times New Roman"/>
          <w:b/>
          <w:bCs/>
          <w:szCs w:val="24"/>
        </w:rPr>
        <w:t xml:space="preserve"> szinten</w:t>
      </w:r>
      <w:r w:rsidR="00604046" w:rsidRPr="001D4A83">
        <w:rPr>
          <w:rFonts w:cs="Times New Roman"/>
          <w:b/>
          <w:bCs/>
          <w:szCs w:val="24"/>
        </w:rPr>
        <w:t xml:space="preserve"> is jelentős érdeksérelmet</w:t>
      </w:r>
      <w:r w:rsidRPr="001D4A83">
        <w:rPr>
          <w:rFonts w:cs="Times New Roman"/>
          <w:b/>
          <w:bCs/>
          <w:szCs w:val="24"/>
        </w:rPr>
        <w:t>, úgy, hogy ezen személyes adataim további sorsa a jogsértés jellege folytán előre nem látható és ellenőrizhetetlen</w:t>
      </w:r>
      <w:r w:rsidR="00604046">
        <w:rPr>
          <w:rFonts w:cs="Times New Roman"/>
          <w:szCs w:val="24"/>
        </w:rPr>
        <w:t xml:space="preserve">. </w:t>
      </w:r>
    </w:p>
    <w:p w14:paraId="3A183690" w14:textId="77777777" w:rsidR="001D4A83" w:rsidRDefault="001D4A83" w:rsidP="009D73E5">
      <w:pPr>
        <w:pStyle w:val="Nincstrkz"/>
        <w:spacing w:line="276" w:lineRule="auto"/>
        <w:jc w:val="both"/>
        <w:rPr>
          <w:rFonts w:cs="Times New Roman"/>
          <w:szCs w:val="24"/>
        </w:rPr>
      </w:pPr>
    </w:p>
    <w:p w14:paraId="7FC7666B" w14:textId="33C22528" w:rsidR="00206DD7" w:rsidRDefault="00604046" w:rsidP="009D73E5">
      <w:pPr>
        <w:pStyle w:val="Nincstrkz"/>
        <w:spacing w:line="276" w:lineRule="auto"/>
        <w:jc w:val="both"/>
        <w:rPr>
          <w:rFonts w:cs="Times New Roman"/>
          <w:szCs w:val="24"/>
        </w:rPr>
      </w:pPr>
      <w:r>
        <w:rPr>
          <w:rFonts w:cs="Times New Roman"/>
          <w:szCs w:val="24"/>
        </w:rPr>
        <w:t xml:space="preserve">Ennél is fontosabb azonban, hogy tömeges, </w:t>
      </w:r>
      <w:r w:rsidRPr="001D4A83">
        <w:rPr>
          <w:rFonts w:cs="Times New Roman"/>
          <w:b/>
          <w:bCs/>
          <w:szCs w:val="24"/>
        </w:rPr>
        <w:t>több tízezer embert érintő</w:t>
      </w:r>
      <w:r w:rsidR="000D4DA0" w:rsidRPr="001D4A83">
        <w:rPr>
          <w:rFonts w:cs="Times New Roman"/>
          <w:b/>
          <w:bCs/>
          <w:szCs w:val="24"/>
        </w:rPr>
        <w:t>, jelentős közfigyelmet generáló</w:t>
      </w:r>
      <w:r w:rsidRPr="001D4A83">
        <w:rPr>
          <w:rFonts w:cs="Times New Roman"/>
          <w:b/>
          <w:bCs/>
          <w:szCs w:val="24"/>
        </w:rPr>
        <w:t xml:space="preserve"> jogsértés történt, amit az érdeksérelem jelentős voltának vizsgálatakor is figyelembe kell venni</w:t>
      </w:r>
      <w:r w:rsidR="00482B68" w:rsidRPr="001D4A83">
        <w:rPr>
          <w:rFonts w:cs="Times New Roman"/>
          <w:b/>
          <w:bCs/>
          <w:szCs w:val="24"/>
        </w:rPr>
        <w:t>, ez pedig a panasszal érintett végzésben nem történt meg</w:t>
      </w:r>
      <w:r>
        <w:rPr>
          <w:rFonts w:cs="Times New Roman"/>
          <w:szCs w:val="24"/>
        </w:rPr>
        <w:t xml:space="preserve">. A Kúria </w:t>
      </w:r>
      <w:r w:rsidR="00482B68" w:rsidRPr="00482B68">
        <w:rPr>
          <w:rFonts w:cs="Times New Roman"/>
          <w:szCs w:val="24"/>
        </w:rPr>
        <w:t xml:space="preserve">Bfv.II.1.337/2022/14. </w:t>
      </w:r>
      <w:r w:rsidR="00482B68">
        <w:rPr>
          <w:rFonts w:cs="Times New Roman"/>
          <w:szCs w:val="24"/>
        </w:rPr>
        <w:t xml:space="preserve">számú eseti döntése </w:t>
      </w:r>
      <w:r>
        <w:rPr>
          <w:rFonts w:cs="Times New Roman"/>
          <w:szCs w:val="24"/>
        </w:rPr>
        <w:t>szerint „</w:t>
      </w:r>
      <w:r w:rsidRPr="00604046">
        <w:rPr>
          <w:rFonts w:cs="Times New Roman"/>
          <w:i/>
          <w:iCs/>
          <w:szCs w:val="24"/>
        </w:rPr>
        <w:t>más vagy mások érdekeinek jelentős sérelme, azaz a jelentős érdeksérelem okozása, akár az alapeseti tényállás elemeként, akár minősítő körülményként csak akkor állapítható meg, ha a sértettet a cselekmény (az elkövetési magatartás) okozatos következményeként egyértelműen kimutatható személyes vagy vagyoni jellegű hátrány éri (EBH 2005.1193.)</w:t>
      </w:r>
      <w:r>
        <w:rPr>
          <w:rFonts w:cs="Times New Roman"/>
          <w:szCs w:val="24"/>
        </w:rPr>
        <w:t>”</w:t>
      </w:r>
      <w:r w:rsidR="00482B68">
        <w:rPr>
          <w:rFonts w:cs="Times New Roman"/>
          <w:szCs w:val="24"/>
        </w:rPr>
        <w:t xml:space="preserve">. Ezek a feltételek jelen esetben egyértelműen fennállnak, ahogy azt egyébként az itt leírtak mellett a </w:t>
      </w:r>
      <w:r w:rsidR="00482B68" w:rsidRPr="00482B68">
        <w:rPr>
          <w:rFonts w:cs="Times New Roman"/>
          <w:szCs w:val="24"/>
        </w:rPr>
        <w:t>Nemzeti Adatvédelmi és Információszabadság Hatóság 2025. november 7-ei</w:t>
      </w:r>
      <w:r w:rsidR="00482B68">
        <w:rPr>
          <w:rFonts w:cs="Times New Roman"/>
          <w:szCs w:val="24"/>
        </w:rPr>
        <w:t xml:space="preserve"> közleményének tartalma is alátámasztják.</w:t>
      </w:r>
    </w:p>
    <w:p w14:paraId="5EEC04A3" w14:textId="77777777" w:rsidR="000D4DA0" w:rsidRDefault="000D4DA0" w:rsidP="00206DD7">
      <w:pPr>
        <w:pStyle w:val="Nincstrkz"/>
        <w:spacing w:line="276" w:lineRule="auto"/>
        <w:jc w:val="both"/>
        <w:rPr>
          <w:rFonts w:cs="Times New Roman"/>
          <w:szCs w:val="24"/>
        </w:rPr>
      </w:pPr>
    </w:p>
    <w:p w14:paraId="46BC67D7" w14:textId="6449BEAE" w:rsidR="000D4DA0" w:rsidRPr="009D73E5" w:rsidRDefault="000D4DA0" w:rsidP="00206DD7">
      <w:pPr>
        <w:pStyle w:val="Nincstrkz"/>
        <w:spacing w:line="276" w:lineRule="auto"/>
        <w:jc w:val="both"/>
        <w:rPr>
          <w:rFonts w:cs="Times New Roman"/>
          <w:spacing w:val="-4"/>
          <w:szCs w:val="24"/>
        </w:rPr>
      </w:pPr>
      <w:r w:rsidRPr="009D73E5">
        <w:rPr>
          <w:rFonts w:cs="Times New Roman"/>
          <w:spacing w:val="-4"/>
          <w:szCs w:val="24"/>
        </w:rPr>
        <w:t xml:space="preserve">5. Végezetül hivatkozom arra, hogy az adatvédelmi jogsértés jellegéből következően </w:t>
      </w:r>
      <w:r w:rsidRPr="001D4A83">
        <w:rPr>
          <w:rFonts w:cs="Times New Roman"/>
          <w:b/>
          <w:bCs/>
          <w:spacing w:val="-4"/>
          <w:szCs w:val="24"/>
        </w:rPr>
        <w:t>valószínűsíthető, hogy az általam ismeretlen elkövetők tettüket haszonszerzési céllal hajtották végre,</w:t>
      </w:r>
      <w:r w:rsidRPr="009D73E5">
        <w:rPr>
          <w:rFonts w:cs="Times New Roman"/>
          <w:spacing w:val="-4"/>
          <w:szCs w:val="24"/>
        </w:rPr>
        <w:t xml:space="preserve"> hiszen az adatbázis jogellenes megszerzéséhez, rendszerezéséhez, feltöltéséhez jelentős szervezettség és komoly munkaerőbefektetés volt szükséges, amit nagy valószínűséggel </w:t>
      </w:r>
      <w:r w:rsidRPr="009D73E5">
        <w:rPr>
          <w:rFonts w:cs="Times New Roman"/>
          <w:spacing w:val="-4"/>
          <w:szCs w:val="24"/>
        </w:rPr>
        <w:lastRenderedPageBreak/>
        <w:t>ellentételezett valamilyen anyag</w:t>
      </w:r>
      <w:r w:rsidR="00805D0D">
        <w:rPr>
          <w:rFonts w:cs="Times New Roman"/>
          <w:spacing w:val="-4"/>
          <w:szCs w:val="24"/>
        </w:rPr>
        <w:t>i</w:t>
      </w:r>
      <w:r w:rsidRPr="009D73E5">
        <w:rPr>
          <w:rFonts w:cs="Times New Roman"/>
          <w:spacing w:val="-4"/>
          <w:szCs w:val="24"/>
        </w:rPr>
        <w:t xml:space="preserve"> haszon az elkövetők oldalán. Erre tekintettel a tényállás másik, a jelentős érdeksérelemhez képest alternatív tényállási eleme, a jogtalan haszonszerzési célzat is megállapítható lehet, de legalábbis csak a nyomozás lefolytatása esetén lehetne azt kizárni.</w:t>
      </w:r>
    </w:p>
    <w:p w14:paraId="1FB115A7" w14:textId="77777777" w:rsidR="00206DD7" w:rsidRPr="00133910" w:rsidRDefault="00206DD7" w:rsidP="00206DD7">
      <w:pPr>
        <w:pStyle w:val="Nincstrkz"/>
        <w:spacing w:line="276" w:lineRule="auto"/>
        <w:jc w:val="both"/>
        <w:rPr>
          <w:rFonts w:cs="Times New Roman"/>
          <w:szCs w:val="24"/>
        </w:rPr>
      </w:pPr>
    </w:p>
    <w:p w14:paraId="67986807" w14:textId="499D9F30" w:rsidR="00206DD7" w:rsidRPr="00133910" w:rsidRDefault="00206DD7" w:rsidP="00206DD7">
      <w:pPr>
        <w:pStyle w:val="Nincstrkz"/>
        <w:spacing w:line="276" w:lineRule="auto"/>
        <w:jc w:val="both"/>
        <w:rPr>
          <w:rFonts w:cs="Times New Roman"/>
          <w:szCs w:val="24"/>
        </w:rPr>
      </w:pPr>
      <w:r>
        <w:rPr>
          <w:rFonts w:cs="Times New Roman"/>
          <w:szCs w:val="24"/>
        </w:rPr>
        <w:t>[</w:t>
      </w:r>
      <w:r w:rsidRPr="00133910">
        <w:rPr>
          <w:rFonts w:cs="Times New Roman"/>
          <w:szCs w:val="24"/>
          <w:highlight w:val="yellow"/>
        </w:rPr>
        <w:t>település</w:t>
      </w:r>
      <w:r w:rsidRPr="000D4DA0">
        <w:rPr>
          <w:rFonts w:cs="Times New Roman"/>
          <w:szCs w:val="24"/>
        </w:rPr>
        <w:t>]</w:t>
      </w:r>
      <w:r w:rsidRPr="00133910">
        <w:rPr>
          <w:rFonts w:cs="Times New Roman"/>
          <w:szCs w:val="24"/>
        </w:rPr>
        <w:t>, 202</w:t>
      </w:r>
      <w:r w:rsidR="00482B68">
        <w:rPr>
          <w:rFonts w:cs="Times New Roman"/>
          <w:szCs w:val="24"/>
        </w:rPr>
        <w:t>6</w:t>
      </w:r>
      <w:r w:rsidRPr="00133910">
        <w:rPr>
          <w:rFonts w:cs="Times New Roman"/>
          <w:szCs w:val="24"/>
        </w:rPr>
        <w:t xml:space="preserve">. </w:t>
      </w:r>
      <w:r w:rsidR="00482B68">
        <w:rPr>
          <w:rFonts w:cs="Times New Roman"/>
          <w:szCs w:val="24"/>
        </w:rPr>
        <w:t>március</w:t>
      </w:r>
      <w:r w:rsidRPr="00133910">
        <w:rPr>
          <w:rFonts w:cs="Times New Roman"/>
          <w:szCs w:val="24"/>
        </w:rPr>
        <w:t xml:space="preserve"> </w:t>
      </w:r>
      <w:r w:rsidRPr="00133910">
        <w:rPr>
          <w:rFonts w:cs="Times New Roman"/>
          <w:szCs w:val="24"/>
          <w:highlight w:val="yellow"/>
        </w:rPr>
        <w:t>„…”</w:t>
      </w:r>
    </w:p>
    <w:p w14:paraId="63934E5F" w14:textId="77777777" w:rsidR="00206DD7" w:rsidRDefault="00206DD7" w:rsidP="00206DD7">
      <w:pPr>
        <w:pStyle w:val="Nincstrkz"/>
        <w:spacing w:line="276" w:lineRule="auto"/>
        <w:jc w:val="both"/>
        <w:rPr>
          <w:rFonts w:cs="Times New Roman"/>
          <w:szCs w:val="24"/>
        </w:rPr>
      </w:pPr>
    </w:p>
    <w:p w14:paraId="01B6023E" w14:textId="77777777" w:rsidR="009D73E5" w:rsidRPr="00133910" w:rsidRDefault="009D73E5" w:rsidP="00206DD7">
      <w:pPr>
        <w:pStyle w:val="Nincstrkz"/>
        <w:spacing w:line="276" w:lineRule="auto"/>
        <w:jc w:val="both"/>
        <w:rPr>
          <w:rFonts w:cs="Times New Roman"/>
          <w:szCs w:val="24"/>
        </w:rPr>
      </w:pPr>
    </w:p>
    <w:p w14:paraId="2532763E" w14:textId="77777777" w:rsidR="00206DD7" w:rsidRPr="00133910" w:rsidRDefault="00206DD7" w:rsidP="00206DD7">
      <w:pPr>
        <w:pStyle w:val="Nincstrkz"/>
        <w:spacing w:line="276" w:lineRule="auto"/>
        <w:jc w:val="both"/>
        <w:rPr>
          <w:rFonts w:cs="Times New Roman"/>
          <w:szCs w:val="24"/>
        </w:rPr>
      </w:pP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t>…………………………</w:t>
      </w:r>
    </w:p>
    <w:p w14:paraId="6AFA6F5E" w14:textId="78C1B8E0" w:rsidR="00ED2FB2" w:rsidRPr="009D73E5" w:rsidRDefault="00206DD7" w:rsidP="009D73E5">
      <w:pPr>
        <w:pStyle w:val="Nincstrkz"/>
        <w:spacing w:line="276" w:lineRule="auto"/>
        <w:jc w:val="both"/>
        <w:rPr>
          <w:rFonts w:cs="Times New Roman"/>
          <w:szCs w:val="24"/>
        </w:rPr>
      </w:pP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r>
      <w:r w:rsidRPr="00133910">
        <w:rPr>
          <w:rFonts w:cs="Times New Roman"/>
          <w:szCs w:val="24"/>
        </w:rPr>
        <w:tab/>
        <w:t xml:space="preserve">   </w:t>
      </w:r>
      <w:r w:rsidRPr="00133910">
        <w:rPr>
          <w:rFonts w:cs="Times New Roman"/>
          <w:szCs w:val="24"/>
        </w:rPr>
        <w:tab/>
        <w:t xml:space="preserve"> feljelentő </w:t>
      </w:r>
    </w:p>
    <w:sectPr w:rsidR="00ED2FB2" w:rsidRPr="009D73E5" w:rsidSect="00206DD7">
      <w:headerReference w:type="default" r:id="rId9"/>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FE4E" w14:textId="77777777" w:rsidR="00EC697B" w:rsidRDefault="00EC697B" w:rsidP="00287597">
      <w:pPr>
        <w:spacing w:after="0" w:line="240" w:lineRule="auto"/>
      </w:pPr>
      <w:r>
        <w:separator/>
      </w:r>
    </w:p>
  </w:endnote>
  <w:endnote w:type="continuationSeparator" w:id="0">
    <w:p w14:paraId="68B2B53A" w14:textId="77777777" w:rsidR="00EC697B" w:rsidRDefault="00EC697B" w:rsidP="0028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342054823"/>
      <w:docPartObj>
        <w:docPartGallery w:val="Page Numbers (Bottom of Page)"/>
        <w:docPartUnique/>
      </w:docPartObj>
    </w:sdtPr>
    <w:sdtContent>
      <w:p w14:paraId="31713661" w14:textId="33D84090" w:rsidR="00287597" w:rsidRDefault="00287597" w:rsidP="00665705">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rPr>
          <w:fldChar w:fldCharType="end"/>
        </w:r>
      </w:p>
    </w:sdtContent>
  </w:sdt>
  <w:p w14:paraId="567DC165" w14:textId="77777777" w:rsidR="00287597" w:rsidRDefault="0028759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468652588"/>
      <w:docPartObj>
        <w:docPartGallery w:val="Page Numbers (Bottom of Page)"/>
        <w:docPartUnique/>
      </w:docPartObj>
    </w:sdtPr>
    <w:sdtContent>
      <w:p w14:paraId="3DAB4CF5" w14:textId="6D4DC350" w:rsidR="00287597" w:rsidRDefault="00287597" w:rsidP="00665705">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2</w:t>
        </w:r>
        <w:r>
          <w:rPr>
            <w:rStyle w:val="Oldalszm"/>
          </w:rPr>
          <w:fldChar w:fldCharType="end"/>
        </w:r>
      </w:p>
    </w:sdtContent>
  </w:sdt>
  <w:p w14:paraId="227A01FF" w14:textId="77777777" w:rsidR="00287597" w:rsidRDefault="0028759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BD09" w14:textId="77777777" w:rsidR="00EC697B" w:rsidRDefault="00EC697B" w:rsidP="00287597">
      <w:pPr>
        <w:spacing w:after="0" w:line="240" w:lineRule="auto"/>
      </w:pPr>
      <w:r>
        <w:separator/>
      </w:r>
    </w:p>
  </w:footnote>
  <w:footnote w:type="continuationSeparator" w:id="0">
    <w:p w14:paraId="3F920BD6" w14:textId="77777777" w:rsidR="00EC697B" w:rsidRDefault="00EC697B" w:rsidP="00287597">
      <w:pPr>
        <w:spacing w:after="0" w:line="240" w:lineRule="auto"/>
      </w:pPr>
      <w:r>
        <w:continuationSeparator/>
      </w:r>
    </w:p>
  </w:footnote>
  <w:footnote w:id="1">
    <w:p w14:paraId="62BC81AD" w14:textId="360D4B52" w:rsidR="00596BC8" w:rsidRDefault="00596BC8" w:rsidP="000D4DA0">
      <w:pPr>
        <w:pStyle w:val="Lbjegyzetszveg"/>
        <w:jc w:val="both"/>
      </w:pPr>
      <w:r>
        <w:rPr>
          <w:rStyle w:val="Lbjegyzet-hivatkozs"/>
        </w:rPr>
        <w:footnoteRef/>
      </w:r>
      <w:r>
        <w:t xml:space="preserve"> </w:t>
      </w:r>
      <w:r w:rsidRPr="00596BC8">
        <w:t>Iránymutatás az adatvédelmi hatásvizsgálat elvégzéséhez és annak megállapításához, hogy az adatkezelés az (EU) 2016/679 rendelet alkalmazásában „valószínűsíthetően magas kockázattal jár”-e</w:t>
      </w:r>
      <w:r>
        <w:t xml:space="preserve">, </w:t>
      </w:r>
      <w:r w:rsidR="000423ED">
        <w:t xml:space="preserve">29. cikk szerinti </w:t>
      </w:r>
      <w:r w:rsidR="000D4DA0">
        <w:t>Adatvédelmi Munkacsoport, hatályában fenntartotta az Európai Adatvédelmi Testület 20</w:t>
      </w:r>
      <w:r w:rsidR="009F6012">
        <w:t>18</w:t>
      </w:r>
      <w:r w:rsidR="000D4DA0">
        <w:t xml:space="preserve">. május 25-i döntése, magyar nyelvű változat: </w:t>
      </w:r>
      <w:r w:rsidRPr="00596BC8">
        <w:t>https://naih.hu/files/WP248_rev01_hu.pdf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0420" w14:textId="281D28C0" w:rsidR="00206DD7" w:rsidRDefault="00206DD7">
    <w:pPr>
      <w:pStyle w:val="lfej"/>
      <w:jc w:val="center"/>
    </w:pPr>
  </w:p>
  <w:p w14:paraId="5B4606E1" w14:textId="77777777" w:rsidR="00206DD7" w:rsidRDefault="00206DD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D242F"/>
    <w:multiLevelType w:val="hybridMultilevel"/>
    <w:tmpl w:val="50D4510E"/>
    <w:lvl w:ilvl="0" w:tplc="FC528390">
      <w:start w:val="1"/>
      <w:numFmt w:val="upperRoman"/>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1832FCE"/>
    <w:multiLevelType w:val="hybridMultilevel"/>
    <w:tmpl w:val="16F052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BCB66E6"/>
    <w:multiLevelType w:val="hybridMultilevel"/>
    <w:tmpl w:val="B926922C"/>
    <w:lvl w:ilvl="0" w:tplc="83C487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4092521">
    <w:abstractNumId w:val="0"/>
  </w:num>
  <w:num w:numId="2" w16cid:durableId="384792830">
    <w:abstractNumId w:val="1"/>
  </w:num>
  <w:num w:numId="3" w16cid:durableId="191387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D7"/>
    <w:rsid w:val="000423ED"/>
    <w:rsid w:val="00045DAE"/>
    <w:rsid w:val="00094B76"/>
    <w:rsid w:val="000D4DA0"/>
    <w:rsid w:val="001D4A83"/>
    <w:rsid w:val="001D5631"/>
    <w:rsid w:val="00206DD7"/>
    <w:rsid w:val="002647C3"/>
    <w:rsid w:val="00271A85"/>
    <w:rsid w:val="00287597"/>
    <w:rsid w:val="002F3402"/>
    <w:rsid w:val="00350E38"/>
    <w:rsid w:val="003B64CA"/>
    <w:rsid w:val="003C633D"/>
    <w:rsid w:val="0047744D"/>
    <w:rsid w:val="00482B68"/>
    <w:rsid w:val="00562B63"/>
    <w:rsid w:val="005638CC"/>
    <w:rsid w:val="00596BC8"/>
    <w:rsid w:val="005D268B"/>
    <w:rsid w:val="00604046"/>
    <w:rsid w:val="0064109A"/>
    <w:rsid w:val="006A53B7"/>
    <w:rsid w:val="006C53AB"/>
    <w:rsid w:val="006E5646"/>
    <w:rsid w:val="007F06F6"/>
    <w:rsid w:val="00805D0D"/>
    <w:rsid w:val="00945DDF"/>
    <w:rsid w:val="00994B34"/>
    <w:rsid w:val="009D73E5"/>
    <w:rsid w:val="009F6012"/>
    <w:rsid w:val="00A0059F"/>
    <w:rsid w:val="00A166FD"/>
    <w:rsid w:val="00A55E32"/>
    <w:rsid w:val="00B10029"/>
    <w:rsid w:val="00B271B1"/>
    <w:rsid w:val="00BA2880"/>
    <w:rsid w:val="00BE367A"/>
    <w:rsid w:val="00C817B7"/>
    <w:rsid w:val="00D07A4D"/>
    <w:rsid w:val="00D276D4"/>
    <w:rsid w:val="00D31A87"/>
    <w:rsid w:val="00D63395"/>
    <w:rsid w:val="00E73638"/>
    <w:rsid w:val="00EA37BB"/>
    <w:rsid w:val="00EC697B"/>
    <w:rsid w:val="00ED2FB2"/>
    <w:rsid w:val="00F020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484E"/>
  <w15:chartTrackingRefBased/>
  <w15:docId w15:val="{D1280B85-CC87-4E4B-9BAB-DAACED38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6"/>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06DD7"/>
    <w:pPr>
      <w:spacing w:after="160" w:line="259" w:lineRule="auto"/>
    </w:pPr>
    <w:rPr>
      <w:rFonts w:cstheme="minorHAnsi"/>
      <w:kern w:val="2"/>
      <w:szCs w:val="22"/>
      <w14:ligatures w14:val="standardContextual"/>
    </w:rPr>
  </w:style>
  <w:style w:type="paragraph" w:styleId="Cmsor1">
    <w:name w:val="heading 1"/>
    <w:basedOn w:val="Norml"/>
    <w:next w:val="Norml"/>
    <w:link w:val="Cmsor1Char"/>
    <w:uiPriority w:val="9"/>
    <w:qFormat/>
    <w:rsid w:val="00206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206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206D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206D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206DD7"/>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206DD7"/>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206DD7"/>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206DD7"/>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206DD7"/>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06DD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06DD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06DD7"/>
    <w:rPr>
      <w:rFonts w:asciiTheme="minorHAnsi" w:eastAsiaTheme="majorEastAsia" w:hAnsiTheme="minorHAnsi" w:cstheme="majorBidi"/>
      <w:color w:val="2F5496" w:themeColor="accent1" w:themeShade="BF"/>
      <w:sz w:val="28"/>
      <w:szCs w:val="28"/>
    </w:rPr>
  </w:style>
  <w:style w:type="character" w:customStyle="1" w:styleId="Cmsor4Char">
    <w:name w:val="Címsor 4 Char"/>
    <w:basedOn w:val="Bekezdsalapbettpusa"/>
    <w:link w:val="Cmsor4"/>
    <w:uiPriority w:val="9"/>
    <w:semiHidden/>
    <w:rsid w:val="00206DD7"/>
    <w:rPr>
      <w:rFonts w:asciiTheme="minorHAnsi" w:eastAsiaTheme="majorEastAsia" w:hAnsiTheme="minorHAnsi" w:cstheme="majorBidi"/>
      <w:i/>
      <w:iCs/>
      <w:color w:val="2F5496" w:themeColor="accent1" w:themeShade="BF"/>
    </w:rPr>
  </w:style>
  <w:style w:type="character" w:customStyle="1" w:styleId="Cmsor5Char">
    <w:name w:val="Címsor 5 Char"/>
    <w:basedOn w:val="Bekezdsalapbettpusa"/>
    <w:link w:val="Cmsor5"/>
    <w:uiPriority w:val="9"/>
    <w:semiHidden/>
    <w:rsid w:val="00206DD7"/>
    <w:rPr>
      <w:rFonts w:asciiTheme="minorHAnsi" w:eastAsiaTheme="majorEastAsia" w:hAnsiTheme="minorHAnsi" w:cstheme="majorBidi"/>
      <w:color w:val="2F5496" w:themeColor="accent1" w:themeShade="BF"/>
    </w:rPr>
  </w:style>
  <w:style w:type="character" w:customStyle="1" w:styleId="Cmsor6Char">
    <w:name w:val="Címsor 6 Char"/>
    <w:basedOn w:val="Bekezdsalapbettpusa"/>
    <w:link w:val="Cmsor6"/>
    <w:uiPriority w:val="9"/>
    <w:semiHidden/>
    <w:rsid w:val="00206DD7"/>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206DD7"/>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206DD7"/>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206DD7"/>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206DD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06DD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06D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206DD7"/>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206DD7"/>
    <w:pPr>
      <w:spacing w:before="160"/>
      <w:jc w:val="center"/>
    </w:pPr>
    <w:rPr>
      <w:i/>
      <w:iCs/>
      <w:color w:val="404040" w:themeColor="text1" w:themeTint="BF"/>
    </w:rPr>
  </w:style>
  <w:style w:type="character" w:customStyle="1" w:styleId="IdzetChar">
    <w:name w:val="Idézet Char"/>
    <w:basedOn w:val="Bekezdsalapbettpusa"/>
    <w:link w:val="Idzet"/>
    <w:uiPriority w:val="29"/>
    <w:rsid w:val="00206DD7"/>
    <w:rPr>
      <w:i/>
      <w:iCs/>
      <w:color w:val="404040" w:themeColor="text1" w:themeTint="BF"/>
    </w:rPr>
  </w:style>
  <w:style w:type="paragraph" w:styleId="Listaszerbekezds">
    <w:name w:val="List Paragraph"/>
    <w:basedOn w:val="Norml"/>
    <w:uiPriority w:val="34"/>
    <w:qFormat/>
    <w:rsid w:val="00206DD7"/>
    <w:pPr>
      <w:ind w:left="720"/>
      <w:contextualSpacing/>
    </w:pPr>
  </w:style>
  <w:style w:type="character" w:styleId="Erskiemels">
    <w:name w:val="Intense Emphasis"/>
    <w:basedOn w:val="Bekezdsalapbettpusa"/>
    <w:uiPriority w:val="21"/>
    <w:qFormat/>
    <w:rsid w:val="00206DD7"/>
    <w:rPr>
      <w:i/>
      <w:iCs/>
      <w:color w:val="2F5496" w:themeColor="accent1" w:themeShade="BF"/>
    </w:rPr>
  </w:style>
  <w:style w:type="paragraph" w:styleId="Kiemeltidzet">
    <w:name w:val="Intense Quote"/>
    <w:basedOn w:val="Norml"/>
    <w:next w:val="Norml"/>
    <w:link w:val="KiemeltidzetChar"/>
    <w:uiPriority w:val="30"/>
    <w:qFormat/>
    <w:rsid w:val="00206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206DD7"/>
    <w:rPr>
      <w:i/>
      <w:iCs/>
      <w:color w:val="2F5496" w:themeColor="accent1" w:themeShade="BF"/>
    </w:rPr>
  </w:style>
  <w:style w:type="character" w:styleId="Ershivatkozs">
    <w:name w:val="Intense Reference"/>
    <w:basedOn w:val="Bekezdsalapbettpusa"/>
    <w:uiPriority w:val="32"/>
    <w:qFormat/>
    <w:rsid w:val="00206DD7"/>
    <w:rPr>
      <w:b/>
      <w:bCs/>
      <w:smallCaps/>
      <w:color w:val="2F5496" w:themeColor="accent1" w:themeShade="BF"/>
      <w:spacing w:val="5"/>
    </w:rPr>
  </w:style>
  <w:style w:type="paragraph" w:styleId="Nincstrkz">
    <w:name w:val="No Spacing"/>
    <w:uiPriority w:val="1"/>
    <w:qFormat/>
    <w:rsid w:val="00206DD7"/>
    <w:rPr>
      <w:rFonts w:cstheme="minorHAnsi"/>
      <w:kern w:val="2"/>
      <w:szCs w:val="22"/>
      <w14:ligatures w14:val="standardContextual"/>
    </w:rPr>
  </w:style>
  <w:style w:type="character" w:styleId="Hiperhivatkozs">
    <w:name w:val="Hyperlink"/>
    <w:basedOn w:val="Bekezdsalapbettpusa"/>
    <w:uiPriority w:val="99"/>
    <w:unhideWhenUsed/>
    <w:rsid w:val="00206DD7"/>
    <w:rPr>
      <w:color w:val="0563C1" w:themeColor="hyperlink"/>
      <w:u w:val="single"/>
    </w:rPr>
  </w:style>
  <w:style w:type="paragraph" w:styleId="lfej">
    <w:name w:val="header"/>
    <w:basedOn w:val="Norml"/>
    <w:link w:val="lfejChar"/>
    <w:uiPriority w:val="99"/>
    <w:unhideWhenUsed/>
    <w:rsid w:val="00206DD7"/>
    <w:pPr>
      <w:tabs>
        <w:tab w:val="center" w:pos="4536"/>
        <w:tab w:val="right" w:pos="9072"/>
      </w:tabs>
      <w:spacing w:after="0" w:line="240" w:lineRule="auto"/>
    </w:pPr>
  </w:style>
  <w:style w:type="character" w:customStyle="1" w:styleId="lfejChar">
    <w:name w:val="Élőfej Char"/>
    <w:basedOn w:val="Bekezdsalapbettpusa"/>
    <w:link w:val="lfej"/>
    <w:uiPriority w:val="99"/>
    <w:rsid w:val="00206DD7"/>
    <w:rPr>
      <w:rFonts w:cstheme="minorHAnsi"/>
      <w:kern w:val="2"/>
      <w:szCs w:val="22"/>
      <w:lang w:val="hu-HU"/>
      <w14:ligatures w14:val="standardContextual"/>
    </w:rPr>
  </w:style>
  <w:style w:type="paragraph" w:styleId="llb">
    <w:name w:val="footer"/>
    <w:basedOn w:val="Norml"/>
    <w:link w:val="llbChar"/>
    <w:uiPriority w:val="99"/>
    <w:unhideWhenUsed/>
    <w:rsid w:val="00287597"/>
    <w:pPr>
      <w:tabs>
        <w:tab w:val="center" w:pos="4513"/>
        <w:tab w:val="right" w:pos="9026"/>
      </w:tabs>
      <w:spacing w:after="0" w:line="240" w:lineRule="auto"/>
    </w:pPr>
  </w:style>
  <w:style w:type="character" w:customStyle="1" w:styleId="llbChar">
    <w:name w:val="Élőláb Char"/>
    <w:basedOn w:val="Bekezdsalapbettpusa"/>
    <w:link w:val="llb"/>
    <w:uiPriority w:val="99"/>
    <w:rsid w:val="00287597"/>
    <w:rPr>
      <w:rFonts w:cstheme="minorHAnsi"/>
      <w:kern w:val="2"/>
      <w:szCs w:val="22"/>
      <w:lang w:val="hu-HU"/>
      <w14:ligatures w14:val="standardContextual"/>
    </w:rPr>
  </w:style>
  <w:style w:type="character" w:styleId="Oldalszm">
    <w:name w:val="page number"/>
    <w:basedOn w:val="Bekezdsalapbettpusa"/>
    <w:uiPriority w:val="99"/>
    <w:semiHidden/>
    <w:unhideWhenUsed/>
    <w:rsid w:val="00287597"/>
  </w:style>
  <w:style w:type="character" w:styleId="Feloldatlanmegemlts">
    <w:name w:val="Unresolved Mention"/>
    <w:basedOn w:val="Bekezdsalapbettpusa"/>
    <w:uiPriority w:val="99"/>
    <w:semiHidden/>
    <w:unhideWhenUsed/>
    <w:rsid w:val="00045DAE"/>
    <w:rPr>
      <w:color w:val="605E5C"/>
      <w:shd w:val="clear" w:color="auto" w:fill="E1DFDD"/>
    </w:rPr>
  </w:style>
  <w:style w:type="paragraph" w:styleId="Lbjegyzetszveg">
    <w:name w:val="footnote text"/>
    <w:basedOn w:val="Norml"/>
    <w:link w:val="LbjegyzetszvegChar"/>
    <w:uiPriority w:val="99"/>
    <w:semiHidden/>
    <w:unhideWhenUsed/>
    <w:rsid w:val="00596BC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96BC8"/>
    <w:rPr>
      <w:rFonts w:cstheme="minorHAnsi"/>
      <w:kern w:val="2"/>
      <w:sz w:val="20"/>
      <w:szCs w:val="20"/>
      <w:lang w:val="hu-HU"/>
      <w14:ligatures w14:val="standardContextual"/>
    </w:rPr>
  </w:style>
  <w:style w:type="character" w:styleId="Lbjegyzet-hivatkozs">
    <w:name w:val="footnote reference"/>
    <w:basedOn w:val="Bekezdsalapbettpusa"/>
    <w:uiPriority w:val="99"/>
    <w:semiHidden/>
    <w:unhideWhenUsed/>
    <w:rsid w:val="00596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2rk@budapest.police.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643B-E3C7-4127-AA1E-854E922C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1182</Words>
  <Characters>8160</Characters>
  <Application>Microsoft Office Word</Application>
  <DocSecurity>0</DocSecurity>
  <Lines>68</Lines>
  <Paragraphs>18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9324</CharactersWithSpaces>
  <SharedDoc>false</SharedDoc>
  <HyperlinkBase/>
  <HLinks>
    <vt:vector size="12" baseType="variant">
      <vt:variant>
        <vt:i4>3342447</vt:i4>
      </vt:variant>
      <vt:variant>
        <vt:i4>3</vt:i4>
      </vt:variant>
      <vt:variant>
        <vt:i4>0</vt:i4>
      </vt:variant>
      <vt:variant>
        <vt:i4>5</vt:i4>
      </vt:variant>
      <vt:variant>
        <vt:lpwstr>https://tiszavilag.co/</vt:lpwstr>
      </vt:variant>
      <vt:variant>
        <vt:lpwstr/>
      </vt:variant>
      <vt:variant>
        <vt:i4>655480</vt:i4>
      </vt:variant>
      <vt:variant>
        <vt:i4>0</vt:i4>
      </vt:variant>
      <vt:variant>
        <vt:i4>0</vt:i4>
      </vt:variant>
      <vt:variant>
        <vt:i4>5</vt:i4>
      </vt:variant>
      <vt:variant>
        <vt:lpwstr>mailto:kozpontinyomozo.fou@mku.hu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Helsinki</dc:creator>
  <cp:keywords/>
  <dc:description/>
  <cp:lastModifiedBy>Zádori Zsolt</cp:lastModifiedBy>
  <cp:revision>5</cp:revision>
  <dcterms:created xsi:type="dcterms:W3CDTF">2026-03-25T10:40:00Z</dcterms:created>
  <dcterms:modified xsi:type="dcterms:W3CDTF">2026-03-25T13:00:00Z</dcterms:modified>
  <cp:category/>
</cp:coreProperties>
</file>