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586B8" w14:textId="77777777" w:rsidR="00206DD7" w:rsidRPr="00133910" w:rsidRDefault="00206DD7" w:rsidP="00206DD7">
      <w:pPr>
        <w:spacing w:line="276" w:lineRule="auto"/>
        <w:rPr>
          <w:rFonts w:cs="Times New Roman"/>
          <w:b/>
          <w:bCs/>
          <w:szCs w:val="24"/>
        </w:rPr>
      </w:pPr>
      <w:r w:rsidRPr="00133910">
        <w:rPr>
          <w:rFonts w:cs="Times New Roman"/>
          <w:b/>
          <w:bCs/>
          <w:szCs w:val="24"/>
        </w:rPr>
        <w:t>Központi Nyomozó Főügyészség</w:t>
      </w:r>
    </w:p>
    <w:p w14:paraId="43EE119E" w14:textId="77777777" w:rsidR="00206DD7" w:rsidRPr="00133910" w:rsidRDefault="00206DD7" w:rsidP="00206DD7">
      <w:pPr>
        <w:spacing w:line="276" w:lineRule="auto"/>
        <w:rPr>
          <w:rFonts w:cs="Times New Roman"/>
          <w:b/>
          <w:bCs/>
          <w:szCs w:val="24"/>
        </w:rPr>
      </w:pPr>
      <w:hyperlink r:id="rId7" w:history="1">
        <w:r w:rsidRPr="00133910">
          <w:rPr>
            <w:rStyle w:val="Hyperlink"/>
            <w:rFonts w:cs="Times New Roman"/>
            <w:b/>
            <w:bCs/>
            <w:szCs w:val="24"/>
          </w:rPr>
          <w:t>kozpontinyomozo.fou@mku.hu</w:t>
        </w:r>
      </w:hyperlink>
    </w:p>
    <w:p w14:paraId="1F26ACE6" w14:textId="77777777" w:rsidR="00206DD7" w:rsidRPr="00133910" w:rsidRDefault="00206DD7" w:rsidP="00206DD7">
      <w:pPr>
        <w:pStyle w:val="NoSpacing"/>
        <w:spacing w:line="276" w:lineRule="auto"/>
        <w:rPr>
          <w:rFonts w:cs="Times New Roman"/>
          <w:szCs w:val="24"/>
          <w:u w:val="single"/>
        </w:rPr>
      </w:pPr>
      <w:r w:rsidRPr="00133910">
        <w:rPr>
          <w:rFonts w:cs="Times New Roman"/>
          <w:szCs w:val="24"/>
          <w:u w:val="single"/>
        </w:rPr>
        <w:t>elektronikus úton</w:t>
      </w:r>
    </w:p>
    <w:p w14:paraId="29C3A682" w14:textId="77777777" w:rsidR="00206DD7" w:rsidRPr="00133910" w:rsidRDefault="00206DD7" w:rsidP="00206DD7">
      <w:pPr>
        <w:pStyle w:val="NoSpacing"/>
        <w:spacing w:line="276" w:lineRule="auto"/>
        <w:rPr>
          <w:rFonts w:cs="Times New Roman"/>
          <w:szCs w:val="24"/>
          <w:u w:val="single"/>
        </w:rPr>
      </w:pPr>
    </w:p>
    <w:p w14:paraId="51D7907C" w14:textId="77777777" w:rsidR="00206DD7" w:rsidRPr="00133910" w:rsidRDefault="00206DD7" w:rsidP="00206DD7">
      <w:pPr>
        <w:pStyle w:val="NoSpacing"/>
        <w:spacing w:line="276" w:lineRule="auto"/>
        <w:rPr>
          <w:rFonts w:cs="Times New Roman"/>
          <w:b/>
          <w:bCs/>
          <w:szCs w:val="24"/>
        </w:rPr>
      </w:pPr>
    </w:p>
    <w:p w14:paraId="55CEB4EB" w14:textId="77777777" w:rsidR="00206DD7" w:rsidRPr="00133910" w:rsidRDefault="00206DD7" w:rsidP="00206DD7">
      <w:pPr>
        <w:pStyle w:val="NoSpacing"/>
        <w:spacing w:line="276" w:lineRule="auto"/>
        <w:rPr>
          <w:rFonts w:cs="Times New Roman"/>
          <w:b/>
          <w:bCs/>
          <w:szCs w:val="24"/>
        </w:rPr>
      </w:pPr>
      <w:r w:rsidRPr="00133910">
        <w:rPr>
          <w:rFonts w:cs="Times New Roman"/>
          <w:b/>
          <w:bCs/>
          <w:szCs w:val="24"/>
        </w:rPr>
        <w:t>Tisztelt Központi Nyomozó Főügyészség!</w:t>
      </w:r>
    </w:p>
    <w:p w14:paraId="75FF8D56" w14:textId="77777777" w:rsidR="00206DD7" w:rsidRPr="00133910" w:rsidRDefault="00206DD7" w:rsidP="00206DD7">
      <w:pPr>
        <w:pStyle w:val="NoSpacing"/>
        <w:spacing w:line="276" w:lineRule="auto"/>
        <w:jc w:val="both"/>
        <w:rPr>
          <w:rFonts w:cs="Times New Roman"/>
          <w:szCs w:val="24"/>
        </w:rPr>
      </w:pPr>
    </w:p>
    <w:p w14:paraId="67DE00A5" w14:textId="77777777" w:rsidR="00206DD7" w:rsidRDefault="00206DD7" w:rsidP="00206DD7">
      <w:pPr>
        <w:pStyle w:val="NoSpacing"/>
        <w:spacing w:line="276" w:lineRule="auto"/>
        <w:jc w:val="both"/>
        <w:rPr>
          <w:rFonts w:cs="Times New Roman"/>
          <w:szCs w:val="24"/>
        </w:rPr>
      </w:pPr>
      <w:r w:rsidRPr="00133910">
        <w:rPr>
          <w:rFonts w:cs="Times New Roman"/>
          <w:szCs w:val="24"/>
        </w:rPr>
        <w:t xml:space="preserve">Alulírott </w:t>
      </w:r>
      <w:r w:rsidRPr="00133910">
        <w:rPr>
          <w:rFonts w:cs="Times New Roman"/>
          <w:szCs w:val="24"/>
          <w:highlight w:val="yellow"/>
        </w:rPr>
        <w:t>NÉV</w:t>
      </w:r>
      <w:r w:rsidRPr="00133910">
        <w:rPr>
          <w:rFonts w:cs="Times New Roman"/>
          <w:szCs w:val="24"/>
        </w:rPr>
        <w:t xml:space="preserve"> </w:t>
      </w:r>
    </w:p>
    <w:p w14:paraId="4ACBA311" w14:textId="59DE4F8F" w:rsidR="00206DD7" w:rsidRDefault="00206DD7" w:rsidP="00206DD7">
      <w:pPr>
        <w:pStyle w:val="NoSpacing"/>
        <w:spacing w:line="276" w:lineRule="auto"/>
        <w:ind w:left="708"/>
        <w:jc w:val="both"/>
        <w:rPr>
          <w:rFonts w:cs="Times New Roman"/>
          <w:szCs w:val="24"/>
        </w:rPr>
      </w:pPr>
      <w:r w:rsidRPr="00133910">
        <w:rPr>
          <w:rFonts w:cs="Times New Roman"/>
          <w:szCs w:val="24"/>
        </w:rPr>
        <w:t xml:space="preserve">szül. hely, idő: </w:t>
      </w:r>
      <w:r w:rsidRPr="00133910">
        <w:rPr>
          <w:rFonts w:cs="Times New Roman"/>
          <w:szCs w:val="24"/>
          <w:highlight w:val="yellow"/>
        </w:rPr>
        <w:t>……………</w:t>
      </w:r>
      <w:proofErr w:type="gramStart"/>
      <w:r w:rsidRPr="00133910">
        <w:rPr>
          <w:rFonts w:cs="Times New Roman"/>
          <w:szCs w:val="24"/>
          <w:highlight w:val="yellow"/>
        </w:rPr>
        <w:t>…….</w:t>
      </w:r>
      <w:proofErr w:type="gramEnd"/>
      <w:r w:rsidRPr="00133910">
        <w:rPr>
          <w:rFonts w:cs="Times New Roman"/>
          <w:szCs w:val="24"/>
          <w:highlight w:val="yellow"/>
        </w:rPr>
        <w:t>.</w:t>
      </w:r>
      <w:r w:rsidRPr="00133910">
        <w:rPr>
          <w:rFonts w:cs="Times New Roman"/>
          <w:szCs w:val="24"/>
        </w:rPr>
        <w:t xml:space="preserve"> </w:t>
      </w:r>
    </w:p>
    <w:p w14:paraId="013B96F3" w14:textId="409F1622" w:rsidR="00206DD7" w:rsidRDefault="00206DD7" w:rsidP="00206DD7">
      <w:pPr>
        <w:pStyle w:val="NoSpacing"/>
        <w:spacing w:line="276" w:lineRule="auto"/>
        <w:ind w:left="708"/>
        <w:jc w:val="both"/>
        <w:rPr>
          <w:rFonts w:cs="Times New Roman"/>
          <w:szCs w:val="24"/>
        </w:rPr>
      </w:pPr>
      <w:r w:rsidRPr="00133910">
        <w:rPr>
          <w:rFonts w:cs="Times New Roman"/>
          <w:szCs w:val="24"/>
        </w:rPr>
        <w:t>an</w:t>
      </w:r>
      <w:r>
        <w:rPr>
          <w:rFonts w:cs="Times New Roman"/>
          <w:szCs w:val="24"/>
        </w:rPr>
        <w:t>yja neve</w:t>
      </w:r>
      <w:r w:rsidRPr="00133910">
        <w:rPr>
          <w:rFonts w:cs="Times New Roman"/>
          <w:szCs w:val="24"/>
        </w:rPr>
        <w:t xml:space="preserve">.: </w:t>
      </w:r>
      <w:r w:rsidRPr="00133910">
        <w:rPr>
          <w:rFonts w:cs="Times New Roman"/>
          <w:szCs w:val="24"/>
          <w:highlight w:val="yellow"/>
        </w:rPr>
        <w:t>……………………..</w:t>
      </w:r>
      <w:r w:rsidRPr="00133910">
        <w:rPr>
          <w:rFonts w:cs="Times New Roman"/>
          <w:szCs w:val="24"/>
        </w:rPr>
        <w:t xml:space="preserve"> </w:t>
      </w:r>
    </w:p>
    <w:p w14:paraId="661A9E99" w14:textId="77777777" w:rsidR="00206DD7" w:rsidRDefault="00206DD7" w:rsidP="00206DD7">
      <w:pPr>
        <w:pStyle w:val="NoSpacing"/>
        <w:spacing w:line="276" w:lineRule="auto"/>
        <w:ind w:left="708"/>
        <w:jc w:val="both"/>
        <w:rPr>
          <w:rFonts w:cs="Times New Roman"/>
          <w:szCs w:val="24"/>
        </w:rPr>
      </w:pPr>
      <w:r w:rsidRPr="00133910">
        <w:rPr>
          <w:rFonts w:cs="Times New Roman"/>
          <w:szCs w:val="24"/>
        </w:rPr>
        <w:t xml:space="preserve">állandó lakcím: </w:t>
      </w:r>
      <w:r w:rsidRPr="00133910">
        <w:rPr>
          <w:rFonts w:cs="Times New Roman"/>
          <w:szCs w:val="24"/>
          <w:highlight w:val="yellow"/>
        </w:rPr>
        <w:t>………………………...</w:t>
      </w:r>
    </w:p>
    <w:p w14:paraId="264347E0" w14:textId="77777777" w:rsidR="00206DD7" w:rsidRPr="00133910" w:rsidRDefault="00206DD7" w:rsidP="00206DD7">
      <w:pPr>
        <w:pStyle w:val="NoSpacing"/>
        <w:spacing w:line="276" w:lineRule="auto"/>
        <w:jc w:val="both"/>
        <w:rPr>
          <w:rFonts w:cs="Times New Roman"/>
          <w:szCs w:val="24"/>
        </w:rPr>
      </w:pPr>
      <w:r w:rsidRPr="00133910">
        <w:rPr>
          <w:rFonts w:cs="Times New Roman"/>
          <w:szCs w:val="24"/>
        </w:rPr>
        <w:t>az alábbi</w:t>
      </w:r>
    </w:p>
    <w:p w14:paraId="7E2917B7" w14:textId="77777777" w:rsidR="00206DD7" w:rsidRPr="00133910" w:rsidRDefault="00206DD7" w:rsidP="00206DD7">
      <w:pPr>
        <w:pStyle w:val="NoSpacing"/>
        <w:spacing w:line="276" w:lineRule="auto"/>
        <w:jc w:val="both"/>
        <w:rPr>
          <w:rFonts w:cs="Times New Roman"/>
          <w:szCs w:val="24"/>
        </w:rPr>
      </w:pPr>
    </w:p>
    <w:p w14:paraId="097FC24B" w14:textId="77777777" w:rsidR="00206DD7" w:rsidRPr="00133910" w:rsidRDefault="00206DD7" w:rsidP="00206DD7">
      <w:pPr>
        <w:pStyle w:val="NoSpacing"/>
        <w:spacing w:line="276" w:lineRule="auto"/>
        <w:jc w:val="center"/>
        <w:rPr>
          <w:rFonts w:cs="Times New Roman"/>
          <w:b/>
          <w:bCs/>
          <w:szCs w:val="24"/>
        </w:rPr>
      </w:pPr>
      <w:r w:rsidRPr="00133910">
        <w:rPr>
          <w:rFonts w:cs="Times New Roman"/>
          <w:b/>
          <w:bCs/>
          <w:szCs w:val="24"/>
        </w:rPr>
        <w:t>f e l j e l e n t é s t</w:t>
      </w:r>
    </w:p>
    <w:p w14:paraId="054D5FA3" w14:textId="77777777" w:rsidR="00206DD7" w:rsidRPr="00133910" w:rsidRDefault="00206DD7" w:rsidP="00206DD7">
      <w:pPr>
        <w:pStyle w:val="NoSpacing"/>
        <w:spacing w:line="276" w:lineRule="auto"/>
        <w:jc w:val="both"/>
        <w:rPr>
          <w:rFonts w:cs="Times New Roman"/>
          <w:szCs w:val="24"/>
        </w:rPr>
      </w:pPr>
    </w:p>
    <w:p w14:paraId="045AA006" w14:textId="77777777" w:rsidR="00206DD7" w:rsidRPr="00133910" w:rsidRDefault="00206DD7" w:rsidP="00206DD7">
      <w:pPr>
        <w:pStyle w:val="NoSpacing"/>
        <w:spacing w:line="276" w:lineRule="auto"/>
        <w:jc w:val="both"/>
        <w:rPr>
          <w:rFonts w:cs="Times New Roman"/>
          <w:szCs w:val="24"/>
        </w:rPr>
      </w:pPr>
      <w:r w:rsidRPr="00133910">
        <w:rPr>
          <w:rFonts w:cs="Times New Roman"/>
          <w:szCs w:val="24"/>
        </w:rPr>
        <w:t>terjesztem elő ismeretlen tettesekkel szemben a Büntető Törvénykönyvről szóló 2012. évi C. törvény (a továbbiakban: Btk.) 219. § (1) bekezdés a) pontjába ütköző, az (1) és (3) bekezdése szerint minősülő személyes adattal visszaélés vétsége miatt az alábbi tényállás alapján.</w:t>
      </w:r>
    </w:p>
    <w:p w14:paraId="23B9B550" w14:textId="77777777" w:rsidR="00206DD7" w:rsidRPr="00133910" w:rsidRDefault="00206DD7" w:rsidP="00206DD7">
      <w:pPr>
        <w:pStyle w:val="NoSpacing"/>
        <w:spacing w:line="276" w:lineRule="auto"/>
        <w:jc w:val="both"/>
        <w:rPr>
          <w:rFonts w:cs="Times New Roman"/>
          <w:szCs w:val="24"/>
        </w:rPr>
      </w:pPr>
    </w:p>
    <w:p w14:paraId="266D7B35" w14:textId="77777777" w:rsidR="00206DD7" w:rsidRPr="00133910" w:rsidRDefault="00206DD7" w:rsidP="00206DD7">
      <w:pPr>
        <w:pStyle w:val="NoSpacing"/>
        <w:numPr>
          <w:ilvl w:val="0"/>
          <w:numId w:val="1"/>
        </w:numPr>
        <w:spacing w:line="276" w:lineRule="auto"/>
        <w:ind w:hanging="1080"/>
        <w:jc w:val="both"/>
        <w:rPr>
          <w:rFonts w:cs="Times New Roman"/>
          <w:b/>
          <w:bCs/>
          <w:szCs w:val="24"/>
        </w:rPr>
      </w:pPr>
      <w:r w:rsidRPr="00133910">
        <w:rPr>
          <w:rFonts w:cs="Times New Roman"/>
          <w:b/>
          <w:bCs/>
          <w:szCs w:val="24"/>
        </w:rPr>
        <w:t>Történeti tényállás</w:t>
      </w:r>
    </w:p>
    <w:p w14:paraId="511C5C1F" w14:textId="77777777" w:rsidR="00206DD7" w:rsidRPr="00133910" w:rsidRDefault="00206DD7" w:rsidP="00206DD7">
      <w:pPr>
        <w:pStyle w:val="NoSpacing"/>
        <w:spacing w:line="276" w:lineRule="auto"/>
        <w:jc w:val="both"/>
        <w:rPr>
          <w:rFonts w:cs="Times New Roman"/>
          <w:szCs w:val="24"/>
        </w:rPr>
      </w:pPr>
    </w:p>
    <w:p w14:paraId="4806F01F" w14:textId="77777777" w:rsidR="00206DD7" w:rsidRPr="00133910" w:rsidRDefault="00206DD7" w:rsidP="00206DD7">
      <w:pPr>
        <w:pStyle w:val="NoSpacing"/>
        <w:spacing w:line="276" w:lineRule="auto"/>
        <w:jc w:val="both"/>
        <w:rPr>
          <w:rFonts w:cs="Times New Roman"/>
          <w:szCs w:val="24"/>
        </w:rPr>
      </w:pPr>
      <w:r w:rsidRPr="00133910">
        <w:rPr>
          <w:rFonts w:cs="Times New Roman"/>
          <w:szCs w:val="24"/>
        </w:rPr>
        <w:t>A demokratikus közéletben való részvételhez fűződő jogommal élve regisztráltam a TISZA Párt Tisza Világ nevű applikációjára, ott megadtam az alábbi adataimat:</w:t>
      </w:r>
    </w:p>
    <w:p w14:paraId="4D36AD74" w14:textId="77777777" w:rsidR="00206DD7" w:rsidRPr="00133910" w:rsidRDefault="00206DD7" w:rsidP="00206DD7">
      <w:pPr>
        <w:pStyle w:val="NoSpacing"/>
        <w:spacing w:line="276" w:lineRule="auto"/>
        <w:jc w:val="both"/>
        <w:rPr>
          <w:rFonts w:cs="Times New Roman"/>
          <w:szCs w:val="24"/>
        </w:rPr>
      </w:pPr>
    </w:p>
    <w:p w14:paraId="45A90CF6" w14:textId="77777777" w:rsidR="00206DD7" w:rsidRPr="00133910" w:rsidRDefault="00206DD7" w:rsidP="00206DD7">
      <w:pPr>
        <w:pStyle w:val="NoSpacing"/>
        <w:numPr>
          <w:ilvl w:val="0"/>
          <w:numId w:val="2"/>
        </w:numPr>
        <w:spacing w:line="276" w:lineRule="auto"/>
        <w:jc w:val="both"/>
        <w:rPr>
          <w:rFonts w:cs="Times New Roman"/>
          <w:szCs w:val="24"/>
        </w:rPr>
      </w:pPr>
      <w:r w:rsidRPr="00133910">
        <w:rPr>
          <w:rFonts w:cs="Times New Roman"/>
          <w:szCs w:val="24"/>
        </w:rPr>
        <w:t>név</w:t>
      </w:r>
    </w:p>
    <w:p w14:paraId="016320B3" w14:textId="77777777" w:rsidR="00206DD7" w:rsidRPr="00133910" w:rsidRDefault="00206DD7" w:rsidP="00206DD7">
      <w:pPr>
        <w:pStyle w:val="NoSpacing"/>
        <w:numPr>
          <w:ilvl w:val="0"/>
          <w:numId w:val="2"/>
        </w:numPr>
        <w:spacing w:line="276" w:lineRule="auto"/>
        <w:jc w:val="both"/>
        <w:rPr>
          <w:rFonts w:cs="Times New Roman"/>
          <w:szCs w:val="24"/>
        </w:rPr>
      </w:pPr>
      <w:r w:rsidRPr="00133910">
        <w:rPr>
          <w:rFonts w:cs="Times New Roman"/>
          <w:szCs w:val="24"/>
        </w:rPr>
        <w:t>lakcím</w:t>
      </w:r>
    </w:p>
    <w:p w14:paraId="52EA12A5" w14:textId="77777777" w:rsidR="00206DD7" w:rsidRPr="00133910" w:rsidRDefault="00206DD7" w:rsidP="00206DD7">
      <w:pPr>
        <w:pStyle w:val="NoSpacing"/>
        <w:numPr>
          <w:ilvl w:val="0"/>
          <w:numId w:val="2"/>
        </w:numPr>
        <w:spacing w:line="276" w:lineRule="auto"/>
        <w:jc w:val="both"/>
        <w:rPr>
          <w:rFonts w:cs="Times New Roman"/>
          <w:szCs w:val="24"/>
        </w:rPr>
      </w:pPr>
      <w:r w:rsidRPr="00133910">
        <w:rPr>
          <w:rFonts w:cs="Times New Roman"/>
          <w:szCs w:val="24"/>
        </w:rPr>
        <w:t>telefonszám</w:t>
      </w:r>
    </w:p>
    <w:p w14:paraId="78DA36CE" w14:textId="77777777" w:rsidR="00206DD7" w:rsidRPr="00133910" w:rsidRDefault="00206DD7" w:rsidP="00206DD7">
      <w:pPr>
        <w:pStyle w:val="NoSpacing"/>
        <w:numPr>
          <w:ilvl w:val="0"/>
          <w:numId w:val="2"/>
        </w:numPr>
        <w:spacing w:line="276" w:lineRule="auto"/>
        <w:jc w:val="both"/>
        <w:rPr>
          <w:rFonts w:cs="Times New Roman"/>
          <w:szCs w:val="24"/>
        </w:rPr>
      </w:pPr>
      <w:r w:rsidRPr="00133910">
        <w:rPr>
          <w:rFonts w:cs="Times New Roman"/>
          <w:szCs w:val="24"/>
        </w:rPr>
        <w:t>email cím</w:t>
      </w:r>
    </w:p>
    <w:p w14:paraId="66757398" w14:textId="77777777" w:rsidR="00206DD7" w:rsidRPr="00133910" w:rsidRDefault="00206DD7" w:rsidP="00206DD7">
      <w:pPr>
        <w:pStyle w:val="NoSpacing"/>
        <w:spacing w:line="276" w:lineRule="auto"/>
        <w:jc w:val="both"/>
        <w:rPr>
          <w:rFonts w:cs="Times New Roman"/>
          <w:szCs w:val="24"/>
        </w:rPr>
      </w:pPr>
    </w:p>
    <w:p w14:paraId="42E08AAD" w14:textId="77777777" w:rsidR="00206DD7" w:rsidRPr="00133910" w:rsidRDefault="00206DD7" w:rsidP="00206DD7">
      <w:pPr>
        <w:pStyle w:val="NoSpacing"/>
        <w:spacing w:line="276" w:lineRule="auto"/>
        <w:jc w:val="both"/>
        <w:rPr>
          <w:rFonts w:cs="Times New Roman"/>
          <w:szCs w:val="24"/>
        </w:rPr>
      </w:pPr>
      <w:r w:rsidRPr="00133910">
        <w:rPr>
          <w:rFonts w:cs="Times New Roman"/>
          <w:szCs w:val="24"/>
          <w:highlight w:val="yellow"/>
        </w:rPr>
        <w:t>(Ha valamelyik adatot nem adta meg, azt törölni kell a fenti felsorolásból).</w:t>
      </w:r>
    </w:p>
    <w:p w14:paraId="3B34DD60" w14:textId="77777777" w:rsidR="00206DD7" w:rsidRPr="00133910" w:rsidRDefault="00206DD7" w:rsidP="00206DD7">
      <w:pPr>
        <w:pStyle w:val="NoSpacing"/>
        <w:spacing w:line="276" w:lineRule="auto"/>
        <w:jc w:val="both"/>
        <w:rPr>
          <w:rFonts w:cs="Times New Roman"/>
          <w:szCs w:val="24"/>
        </w:rPr>
      </w:pPr>
    </w:p>
    <w:p w14:paraId="761D6D22" w14:textId="77777777" w:rsidR="00206DD7" w:rsidRPr="00133910" w:rsidRDefault="00206DD7" w:rsidP="00206DD7">
      <w:pPr>
        <w:pStyle w:val="NoSpacing"/>
        <w:spacing w:line="276" w:lineRule="auto"/>
        <w:jc w:val="both"/>
        <w:rPr>
          <w:rFonts w:cs="Times New Roman"/>
          <w:szCs w:val="24"/>
        </w:rPr>
      </w:pPr>
      <w:r w:rsidRPr="00133910">
        <w:rPr>
          <w:rFonts w:cs="Times New Roman"/>
          <w:szCs w:val="24"/>
        </w:rPr>
        <w:t xml:space="preserve">Az applikációban tárolt adataim a hozzájárulásom nélkül, számomra ismeretlen módon illetéktelen módon nyilvánosságra kerültek először a következő médiumok által közvetítetten: </w:t>
      </w:r>
    </w:p>
    <w:p w14:paraId="61F0B992" w14:textId="77777777" w:rsidR="00206DD7" w:rsidRPr="00133910" w:rsidRDefault="00206DD7" w:rsidP="00206DD7">
      <w:pPr>
        <w:pStyle w:val="NoSpacing"/>
        <w:spacing w:line="276" w:lineRule="auto"/>
        <w:jc w:val="both"/>
        <w:rPr>
          <w:rFonts w:cs="Times New Roman"/>
          <w:szCs w:val="24"/>
        </w:rPr>
      </w:pPr>
    </w:p>
    <w:p w14:paraId="6B0BF86B" w14:textId="77777777" w:rsidR="00206DD7" w:rsidRPr="00133910" w:rsidRDefault="00206DD7" w:rsidP="00206DD7">
      <w:pPr>
        <w:pStyle w:val="NoSpacing"/>
        <w:spacing w:line="276" w:lineRule="auto"/>
        <w:jc w:val="both"/>
        <w:rPr>
          <w:rFonts w:cs="Times New Roman"/>
          <w:szCs w:val="24"/>
        </w:rPr>
      </w:pPr>
      <w:r w:rsidRPr="00133910">
        <w:rPr>
          <w:rFonts w:cs="Times New Roman"/>
          <w:szCs w:val="24"/>
          <w:highlight w:val="yellow"/>
        </w:rPr>
        <w:t>…………………………………………………….</w:t>
      </w:r>
    </w:p>
    <w:p w14:paraId="45460DAB" w14:textId="77777777" w:rsidR="00206DD7" w:rsidRPr="00133910" w:rsidRDefault="00206DD7" w:rsidP="00206DD7">
      <w:pPr>
        <w:pStyle w:val="NoSpacing"/>
        <w:spacing w:line="276" w:lineRule="auto"/>
        <w:jc w:val="both"/>
        <w:rPr>
          <w:rFonts w:cs="Times New Roman"/>
          <w:szCs w:val="24"/>
        </w:rPr>
      </w:pPr>
    </w:p>
    <w:p w14:paraId="2B872912" w14:textId="77777777" w:rsidR="00206DD7" w:rsidRPr="00133910" w:rsidRDefault="00206DD7" w:rsidP="00206DD7">
      <w:pPr>
        <w:pStyle w:val="NoSpacing"/>
        <w:spacing w:line="276" w:lineRule="auto"/>
        <w:jc w:val="both"/>
        <w:rPr>
          <w:rFonts w:cs="Times New Roman"/>
        </w:rPr>
      </w:pPr>
      <w:r w:rsidRPr="2E00C216">
        <w:rPr>
          <w:rFonts w:cs="Times New Roman"/>
          <w:highlight w:val="yellow"/>
        </w:rPr>
        <w:t xml:space="preserve">(Itt fel kel sorolni azon médiumokat, amelyek a listán szereplő adatait a feljelentőnek a nyilvánosság felé közvetítették vagy úgy, hogy az adatokat megírták, vagy úgy, hogy azokat bármilyen módon – akár </w:t>
      </w:r>
      <w:proofErr w:type="spellStart"/>
      <w:r w:rsidRPr="2E00C216">
        <w:rPr>
          <w:rFonts w:cs="Times New Roman"/>
          <w:highlight w:val="yellow"/>
        </w:rPr>
        <w:t>hiperlinkkel</w:t>
      </w:r>
      <w:proofErr w:type="spellEnd"/>
      <w:r w:rsidRPr="2E00C216">
        <w:rPr>
          <w:rFonts w:cs="Times New Roman"/>
          <w:highlight w:val="yellow"/>
        </w:rPr>
        <w:t>, akár az adatbázis online elérhetőségének leírásával – hozzáférhetővé tették</w:t>
      </w:r>
      <w:r>
        <w:rPr>
          <w:rFonts w:cs="Times New Roman"/>
          <w:highlight w:val="yellow"/>
        </w:rPr>
        <w:t>.</w:t>
      </w:r>
      <w:r w:rsidRPr="2E00C216">
        <w:rPr>
          <w:rFonts w:cs="Times New Roman"/>
          <w:highlight w:val="yellow"/>
        </w:rPr>
        <w:t>)</w:t>
      </w:r>
    </w:p>
    <w:p w14:paraId="7B3F6A1B" w14:textId="77777777" w:rsidR="00206DD7" w:rsidRPr="00E1486D" w:rsidRDefault="00206DD7" w:rsidP="00206DD7">
      <w:pPr>
        <w:pStyle w:val="NoSpacing"/>
        <w:spacing w:line="276" w:lineRule="auto"/>
        <w:jc w:val="both"/>
        <w:rPr>
          <w:rFonts w:cs="Times New Roman"/>
          <w:highlight w:val="yellow"/>
        </w:rPr>
      </w:pPr>
      <w:r w:rsidRPr="00E1486D">
        <w:rPr>
          <w:rFonts w:cs="Times New Roman"/>
          <w:highlight w:val="yellow"/>
        </w:rPr>
        <w:t xml:space="preserve">(Ezt a fenti részt csak akkor töltse ki, ha az adatait már a tiszavilag.co honlap elindítása </w:t>
      </w:r>
      <w:r w:rsidRPr="00E1486D">
        <w:rPr>
          <w:rFonts w:cs="Times New Roman"/>
          <w:i/>
          <w:iCs/>
          <w:highlight w:val="yellow"/>
        </w:rPr>
        <w:t>előtt</w:t>
      </w:r>
      <w:r w:rsidRPr="00E1486D">
        <w:rPr>
          <w:rFonts w:cs="Times New Roman"/>
          <w:highlight w:val="yellow"/>
        </w:rPr>
        <w:t xml:space="preserve"> nyilvánosságra hozták. Ha az Ön adatai kizárólag a tiszavilag.co honlapon kerültek </w:t>
      </w:r>
      <w:r w:rsidRPr="00E1486D">
        <w:rPr>
          <w:rFonts w:cs="Times New Roman"/>
          <w:highlight w:val="yellow"/>
        </w:rPr>
        <w:lastRenderedPageBreak/>
        <w:t>nyilvánosságra, ezt a részt törölje, és csak az alábbi, a tiszavilag.co-</w:t>
      </w:r>
      <w:proofErr w:type="spellStart"/>
      <w:r w:rsidRPr="00E1486D">
        <w:rPr>
          <w:rFonts w:cs="Times New Roman"/>
          <w:highlight w:val="yellow"/>
        </w:rPr>
        <w:t>ra</w:t>
      </w:r>
      <w:proofErr w:type="spellEnd"/>
      <w:r w:rsidRPr="00E1486D">
        <w:rPr>
          <w:rFonts w:cs="Times New Roman"/>
          <w:highlight w:val="yellow"/>
        </w:rPr>
        <w:t xml:space="preserve"> vonatkozó részt töltse ki.)</w:t>
      </w:r>
    </w:p>
    <w:p w14:paraId="4AD69474" w14:textId="77777777" w:rsidR="00206DD7" w:rsidRPr="00133910" w:rsidRDefault="00206DD7" w:rsidP="00206DD7">
      <w:pPr>
        <w:pStyle w:val="NoSpacing"/>
        <w:spacing w:line="276" w:lineRule="auto"/>
        <w:jc w:val="both"/>
        <w:rPr>
          <w:rFonts w:cs="Times New Roman"/>
          <w:szCs w:val="24"/>
        </w:rPr>
      </w:pPr>
    </w:p>
    <w:p w14:paraId="250A0FB7" w14:textId="589963C6" w:rsidR="00206DD7" w:rsidRPr="00133910" w:rsidRDefault="00206DD7" w:rsidP="00206DD7">
      <w:pPr>
        <w:pStyle w:val="NoSpacing"/>
        <w:spacing w:line="276" w:lineRule="auto"/>
        <w:jc w:val="both"/>
        <w:rPr>
          <w:rFonts w:cs="Times New Roman"/>
          <w:szCs w:val="24"/>
        </w:rPr>
      </w:pPr>
      <w:r w:rsidRPr="00133910">
        <w:rPr>
          <w:rFonts w:cs="Times New Roman"/>
          <w:szCs w:val="24"/>
        </w:rPr>
        <w:t xml:space="preserve">Ezt követően a </w:t>
      </w:r>
      <w:hyperlink r:id="rId8" w:history="1">
        <w:r w:rsidRPr="00665705">
          <w:rPr>
            <w:rStyle w:val="Hyperlink"/>
            <w:rFonts w:cs="Times New Roman"/>
            <w:szCs w:val="24"/>
          </w:rPr>
          <w:t>https://tiszavilag.co</w:t>
        </w:r>
      </w:hyperlink>
      <w:r>
        <w:rPr>
          <w:rFonts w:cs="Times New Roman"/>
          <w:szCs w:val="24"/>
        </w:rPr>
        <w:t xml:space="preserve"> </w:t>
      </w:r>
      <w:r w:rsidRPr="00133910">
        <w:rPr>
          <w:rFonts w:cs="Times New Roman"/>
          <w:szCs w:val="24"/>
        </w:rPr>
        <w:t xml:space="preserve">weboldalon 2025. november 7. napján egy részletes, kereshető online térkép jelent meg, benne a lakcímemmel </w:t>
      </w:r>
      <w:r>
        <w:rPr>
          <w:rFonts w:cs="Times New Roman"/>
          <w:szCs w:val="24"/>
        </w:rPr>
        <w:t>G</w:t>
      </w:r>
      <w:r w:rsidRPr="00133910">
        <w:rPr>
          <w:rFonts w:cs="Times New Roman"/>
          <w:szCs w:val="24"/>
        </w:rPr>
        <w:t>oogle</w:t>
      </w:r>
      <w:r>
        <w:rPr>
          <w:rFonts w:cs="Times New Roman"/>
          <w:szCs w:val="24"/>
        </w:rPr>
        <w:t>-</w:t>
      </w:r>
      <w:r w:rsidRPr="00133910">
        <w:rPr>
          <w:rFonts w:cs="Times New Roman"/>
          <w:szCs w:val="24"/>
        </w:rPr>
        <w:t xml:space="preserve">térképen ábrázolva, valamint az összes megadott személyes </w:t>
      </w:r>
      <w:proofErr w:type="spellStart"/>
      <w:r w:rsidRPr="00133910">
        <w:rPr>
          <w:rFonts w:cs="Times New Roman"/>
          <w:szCs w:val="24"/>
        </w:rPr>
        <w:t>adatommal</w:t>
      </w:r>
      <w:proofErr w:type="spellEnd"/>
      <w:r w:rsidRPr="00133910">
        <w:rPr>
          <w:rFonts w:cs="Times New Roman"/>
          <w:szCs w:val="24"/>
        </w:rPr>
        <w:t xml:space="preserve">. Az adatbázist hozzáférhetővé tették a következő médiumok: </w:t>
      </w:r>
    </w:p>
    <w:p w14:paraId="0E09B6B3" w14:textId="77777777" w:rsidR="00206DD7" w:rsidRPr="00133910" w:rsidRDefault="00206DD7" w:rsidP="00206DD7">
      <w:pPr>
        <w:pStyle w:val="NoSpacing"/>
        <w:spacing w:line="276" w:lineRule="auto"/>
        <w:jc w:val="both"/>
        <w:rPr>
          <w:rFonts w:cs="Times New Roman"/>
          <w:szCs w:val="24"/>
        </w:rPr>
      </w:pPr>
      <w:r w:rsidRPr="00133910">
        <w:rPr>
          <w:rFonts w:cs="Times New Roman"/>
          <w:szCs w:val="24"/>
          <w:highlight w:val="yellow"/>
        </w:rPr>
        <w:t>…………………………………………………...</w:t>
      </w:r>
    </w:p>
    <w:p w14:paraId="25B2B4FD" w14:textId="77777777" w:rsidR="00206DD7" w:rsidRPr="00133910" w:rsidRDefault="00206DD7" w:rsidP="00206DD7">
      <w:pPr>
        <w:pStyle w:val="NoSpacing"/>
        <w:spacing w:line="276" w:lineRule="auto"/>
        <w:jc w:val="both"/>
        <w:rPr>
          <w:rFonts w:cs="Times New Roman"/>
          <w:szCs w:val="24"/>
        </w:rPr>
      </w:pPr>
    </w:p>
    <w:p w14:paraId="53D61E15" w14:textId="77777777" w:rsidR="00206DD7" w:rsidRPr="00133910" w:rsidRDefault="00206DD7" w:rsidP="00206DD7">
      <w:pPr>
        <w:pStyle w:val="NoSpacing"/>
        <w:spacing w:line="276" w:lineRule="auto"/>
        <w:jc w:val="both"/>
        <w:rPr>
          <w:rFonts w:cs="Times New Roman"/>
          <w:szCs w:val="24"/>
        </w:rPr>
      </w:pPr>
      <w:r w:rsidRPr="00133910">
        <w:rPr>
          <w:rFonts w:cs="Times New Roman"/>
          <w:szCs w:val="24"/>
          <w:highlight w:val="yellow"/>
        </w:rPr>
        <w:t xml:space="preserve">(Itt fel kel sorolni azon médiumokat, amelyek a térképet a nyilvánosság felé közvetítették bármilyen módon – akár </w:t>
      </w:r>
      <w:proofErr w:type="spellStart"/>
      <w:r w:rsidRPr="00133910">
        <w:rPr>
          <w:rFonts w:cs="Times New Roman"/>
          <w:szCs w:val="24"/>
          <w:highlight w:val="yellow"/>
        </w:rPr>
        <w:t>hiperlinkkel</w:t>
      </w:r>
      <w:proofErr w:type="spellEnd"/>
      <w:r w:rsidRPr="00133910">
        <w:rPr>
          <w:rFonts w:cs="Times New Roman"/>
          <w:szCs w:val="24"/>
          <w:highlight w:val="yellow"/>
        </w:rPr>
        <w:t>, akár az adatbázis online elérhetőségének leírásával</w:t>
      </w:r>
      <w:r>
        <w:rPr>
          <w:rFonts w:cs="Times New Roman"/>
          <w:szCs w:val="24"/>
          <w:highlight w:val="yellow"/>
        </w:rPr>
        <w:t>.</w:t>
      </w:r>
      <w:r w:rsidRPr="00133910">
        <w:rPr>
          <w:rFonts w:cs="Times New Roman"/>
          <w:szCs w:val="24"/>
          <w:highlight w:val="yellow"/>
        </w:rPr>
        <w:t>)</w:t>
      </w:r>
    </w:p>
    <w:p w14:paraId="584CF31B" w14:textId="77777777" w:rsidR="00206DD7" w:rsidRPr="00133910" w:rsidRDefault="00206DD7" w:rsidP="00206DD7">
      <w:pPr>
        <w:pStyle w:val="NoSpacing"/>
        <w:spacing w:line="276" w:lineRule="auto"/>
        <w:jc w:val="both"/>
        <w:rPr>
          <w:rFonts w:cs="Times New Roman"/>
          <w:szCs w:val="24"/>
        </w:rPr>
      </w:pPr>
    </w:p>
    <w:p w14:paraId="1B1726BB" w14:textId="77777777" w:rsidR="00206DD7" w:rsidRPr="00133910" w:rsidRDefault="00206DD7" w:rsidP="00206DD7">
      <w:pPr>
        <w:pStyle w:val="NoSpacing"/>
        <w:spacing w:line="276" w:lineRule="auto"/>
        <w:jc w:val="both"/>
        <w:rPr>
          <w:rFonts w:cs="Times New Roman"/>
          <w:szCs w:val="24"/>
        </w:rPr>
      </w:pPr>
      <w:r w:rsidRPr="00133910">
        <w:rPr>
          <w:rFonts w:cs="Times New Roman"/>
          <w:szCs w:val="24"/>
        </w:rPr>
        <w:t>A Nemzeti Adatvédelmi és Információszabadság Hatóság 2025. november 7-ei közleményében az alábbiakat közölte, akkor még az interaktív térkép megjelenése előtt:</w:t>
      </w:r>
    </w:p>
    <w:p w14:paraId="62359831" w14:textId="77777777" w:rsidR="00206DD7" w:rsidRPr="00133910" w:rsidRDefault="00206DD7" w:rsidP="00206DD7">
      <w:pPr>
        <w:pStyle w:val="NoSpacing"/>
        <w:spacing w:line="276" w:lineRule="auto"/>
        <w:jc w:val="both"/>
        <w:rPr>
          <w:rFonts w:cs="Times New Roman"/>
          <w:szCs w:val="24"/>
        </w:rPr>
      </w:pPr>
    </w:p>
    <w:p w14:paraId="3D1C7BD9" w14:textId="77777777" w:rsidR="00206DD7" w:rsidRPr="00133910" w:rsidRDefault="00206DD7" w:rsidP="00206DD7">
      <w:pPr>
        <w:pStyle w:val="NoSpacing"/>
        <w:spacing w:line="276" w:lineRule="auto"/>
        <w:jc w:val="both"/>
        <w:rPr>
          <w:rFonts w:cs="Times New Roman"/>
          <w:i/>
          <w:iCs/>
          <w:szCs w:val="24"/>
        </w:rPr>
      </w:pPr>
      <w:r w:rsidRPr="00133910">
        <w:rPr>
          <w:rFonts w:cs="Times New Roman"/>
          <w:szCs w:val="24"/>
        </w:rPr>
        <w:t>„</w:t>
      </w:r>
      <w:r w:rsidRPr="00133910">
        <w:rPr>
          <w:rFonts w:cs="Times New Roman"/>
          <w:i/>
          <w:iCs/>
          <w:szCs w:val="24"/>
        </w:rPr>
        <w:t>A Hatóság mindenekelőtt rögzíti, hogy még abban az esetben is, ha egy politikai párt jogellenesen nem hozott megfelelő adatbiztonsági intézkedéseket az elektronikus úton általa tárolt személyes adatok védelmére, és ezen sérülékenységet kihasználva valaki ezen személyes adatokhoz hozzáfér, azokat megszerzi, e cselekmény is jogellenes és a jogsértés körülményeitől függően akár bűncselekménynek is minősülhet.</w:t>
      </w:r>
    </w:p>
    <w:p w14:paraId="08C80AD4" w14:textId="77777777" w:rsidR="00206DD7" w:rsidRPr="00133910" w:rsidRDefault="00206DD7" w:rsidP="00206DD7">
      <w:pPr>
        <w:pStyle w:val="NoSpacing"/>
        <w:spacing w:line="276" w:lineRule="auto"/>
        <w:jc w:val="both"/>
        <w:rPr>
          <w:rFonts w:cs="Times New Roman"/>
          <w:i/>
          <w:iCs/>
          <w:szCs w:val="24"/>
        </w:rPr>
      </w:pPr>
      <w:r w:rsidRPr="00133910">
        <w:rPr>
          <w:rFonts w:cs="Times New Roman"/>
          <w:i/>
          <w:iCs/>
          <w:szCs w:val="24"/>
        </w:rPr>
        <w:br/>
        <w:t>Egy politikai párt által a politikai tevékenységéhez használt informatikai rendszer sérülékenysége közérdekű ügynek minősülhet, ez azonban önmagában nem teremt jogszerű alapot arra, hogy az adatbiztonsági hiányosságot kihasználó személy tárolja és nyilvánosságra hozza az adatbázisban szereplő érintettek személyes és különleges adatait.</w:t>
      </w:r>
    </w:p>
    <w:p w14:paraId="7D541611" w14:textId="77777777" w:rsidR="00206DD7" w:rsidRPr="00133910" w:rsidRDefault="00206DD7" w:rsidP="00206DD7">
      <w:pPr>
        <w:pStyle w:val="NoSpacing"/>
        <w:spacing w:line="276" w:lineRule="auto"/>
        <w:jc w:val="both"/>
        <w:rPr>
          <w:rFonts w:cs="Times New Roman"/>
          <w:i/>
          <w:iCs/>
          <w:szCs w:val="24"/>
        </w:rPr>
      </w:pPr>
      <w:r w:rsidRPr="00133910">
        <w:rPr>
          <w:rFonts w:cs="Times New Roman"/>
          <w:i/>
          <w:iCs/>
          <w:szCs w:val="24"/>
        </w:rPr>
        <w:br/>
        <w:t>Ha pedig ezen közérdekű ügyről valamely médiaszolgáltató beszámol, és ennek során felhasználja ezen jogsértő személy eljárása nyomán nyilvánosságra került személyes és különleges adatokat, akkor be kell tartania az általános adatvédelmi rendelet előírásait, illetve a sajtószabadság és a személyes adatok védelméhez való jog közötti egyensúlyt meghatározó jogalkalmazói gyakorlatot.</w:t>
      </w:r>
    </w:p>
    <w:p w14:paraId="1DDF8D14" w14:textId="77777777" w:rsidR="00206DD7" w:rsidRPr="00133910" w:rsidRDefault="00206DD7" w:rsidP="00206DD7">
      <w:pPr>
        <w:pStyle w:val="NoSpacing"/>
        <w:spacing w:line="276" w:lineRule="auto"/>
        <w:jc w:val="both"/>
        <w:rPr>
          <w:rFonts w:cs="Times New Roman"/>
          <w:i/>
          <w:iCs/>
          <w:szCs w:val="24"/>
        </w:rPr>
      </w:pPr>
      <w:r w:rsidRPr="00133910">
        <w:rPr>
          <w:rFonts w:cs="Times New Roman"/>
          <w:i/>
          <w:iCs/>
          <w:szCs w:val="24"/>
        </w:rPr>
        <w:br/>
        <w:t>A Hatóság ezzel összefüggésben rögzíti, hogy a személyes adatok tárolása, médiatartalomban való felhasználása esetén a médiaszolgáltató önálló felelősséggel tartozik az adatkezelési tevékenységéért. Ezen adatkezelés során sincs legitimáló szerepe annak, hogy a politikai párt esetlegesen – az irányadó jogi követelményeket megsértve – nem hozott megfelelő adatbiztonsági intézkedéseket, illetve annak sem, hogy a személyes adatokat már korábban – az adatbiztonsági hiányosságot kihasználva – valaki már nyilvánosságra hozta.</w:t>
      </w:r>
    </w:p>
    <w:p w14:paraId="2433F855" w14:textId="77777777" w:rsidR="00206DD7" w:rsidRPr="00133910" w:rsidRDefault="00206DD7" w:rsidP="00206DD7">
      <w:pPr>
        <w:pStyle w:val="NoSpacing"/>
        <w:spacing w:line="276" w:lineRule="auto"/>
        <w:jc w:val="both"/>
        <w:rPr>
          <w:rFonts w:cs="Times New Roman"/>
          <w:i/>
          <w:iCs/>
          <w:szCs w:val="24"/>
        </w:rPr>
      </w:pPr>
      <w:r w:rsidRPr="00133910">
        <w:rPr>
          <w:rFonts w:cs="Times New Roman"/>
          <w:i/>
          <w:iCs/>
          <w:szCs w:val="24"/>
        </w:rPr>
        <w:br/>
        <w:t>A Hatóság álláspontja szerint a médiaszolgáltatóknak az adatkezelésük során mindenekelőtt azt szükséges mérlegelniük, hogy a nyilvánosságra került személyes adatok általuk történő felhasználása, további megosztása mennyiben szükséges a közügyről szóló tudósítás céljának eléréséhez, illetve, hogy az elérni kívánt cél fontossága és az ennek érdekében okozott alapjogsérelem súlya mennyiben állnak arányban egymással.</w:t>
      </w:r>
    </w:p>
    <w:p w14:paraId="78CA93F7" w14:textId="77777777" w:rsidR="00206DD7" w:rsidRPr="00133910" w:rsidRDefault="00206DD7" w:rsidP="00206DD7">
      <w:pPr>
        <w:pStyle w:val="NoSpacing"/>
        <w:spacing w:line="276" w:lineRule="auto"/>
        <w:jc w:val="both"/>
        <w:rPr>
          <w:rFonts w:cs="Times New Roman"/>
          <w:i/>
          <w:iCs/>
          <w:szCs w:val="24"/>
        </w:rPr>
      </w:pPr>
      <w:r w:rsidRPr="00133910">
        <w:rPr>
          <w:rFonts w:cs="Times New Roman"/>
          <w:i/>
          <w:iCs/>
          <w:szCs w:val="24"/>
        </w:rPr>
        <w:lastRenderedPageBreak/>
        <w:br/>
        <w:t xml:space="preserve">Ennek körében egyrészt azt szükséges figyelembe venniük, hogy milyen célból és milyen módon kívánják felhasználni a személyes adatokat. Ha például a médiaszolgáltató újságírója a hiteles tájékoztatás biztosítása érdekében, azért használja fel az érintett elérhetőségi adatait, hogy az érintettekkel való kapcsolatfelvétel útján </w:t>
      </w:r>
      <w:proofErr w:type="spellStart"/>
      <w:r w:rsidRPr="00133910">
        <w:rPr>
          <w:rFonts w:cs="Times New Roman"/>
          <w:i/>
          <w:iCs/>
          <w:szCs w:val="24"/>
        </w:rPr>
        <w:t>meggyőződjön</w:t>
      </w:r>
      <w:proofErr w:type="spellEnd"/>
      <w:r w:rsidRPr="00133910">
        <w:rPr>
          <w:rFonts w:cs="Times New Roman"/>
          <w:i/>
          <w:iCs/>
          <w:szCs w:val="24"/>
        </w:rPr>
        <w:t xml:space="preserve"> a nyilvánosságra hozott adatok valódiságáról, vagy az érintettek véleményét kívánja megismerni ezen közéleti jelentőséggel rendelkező ügyről, akkor ezen adatkezelési tevékenység összeegyeztethető lehet az általános adatvédelmi rendelet előírásaival. A Hatóság álláspontja szerint azonban ellentétes lehet az adatvédelmi követelményekkel az, ha egy cikkben a nyilvánosság számára elérhetővé válnak az eleve jogellenes adatkezeléssel érintettek személyes és különleges adatai (akár közvetett módon, tehát az adatbázisra vagy a személyes adatokat nyilvánosságra hozó honlapra mutató hivatkozás közlésével). Ezzel ugyanis a médiaszolgáltatók tovább fokozzák a bekövetkezett jogsértés mértékét és az érintettek magánszférájára gyakorolt negatív hatást.</w:t>
      </w:r>
    </w:p>
    <w:p w14:paraId="0E9B68B0" w14:textId="77777777" w:rsidR="00206DD7" w:rsidRPr="00133910" w:rsidRDefault="00206DD7" w:rsidP="00206DD7">
      <w:pPr>
        <w:pStyle w:val="NoSpacing"/>
        <w:spacing w:line="276" w:lineRule="auto"/>
        <w:jc w:val="both"/>
        <w:rPr>
          <w:rFonts w:cs="Times New Roman"/>
          <w:i/>
          <w:iCs/>
          <w:szCs w:val="24"/>
        </w:rPr>
      </w:pPr>
      <w:r w:rsidRPr="00133910">
        <w:rPr>
          <w:rFonts w:cs="Times New Roman"/>
          <w:i/>
          <w:iCs/>
          <w:szCs w:val="24"/>
        </w:rPr>
        <w:br/>
        <w:t xml:space="preserve">Másrészt, a médiaszolgáltatóknak azt is figyelembe kell venniük, hogy az érintettek kiszolgáltatott helyzetben vannak, hiszen nem az érintettek hozták nyilvánosságra személyes és különleges adataikat, hanem az adatbiztonsági hiányosságot kihasználó jogsértő személy. Azt is szükséges értékelniük, hogy valamely érintett korábban a nyilvánosság előtt vállalta-e politikai véleményét, </w:t>
      </w:r>
      <w:proofErr w:type="gramStart"/>
      <w:r w:rsidRPr="00133910">
        <w:rPr>
          <w:rFonts w:cs="Times New Roman"/>
          <w:i/>
          <w:iCs/>
          <w:szCs w:val="24"/>
        </w:rPr>
        <w:t>illetve</w:t>
      </w:r>
      <w:proofErr w:type="gramEnd"/>
      <w:r w:rsidRPr="00133910">
        <w:rPr>
          <w:rFonts w:cs="Times New Roman"/>
          <w:i/>
          <w:iCs/>
          <w:szCs w:val="24"/>
        </w:rPr>
        <w:t xml:space="preserve"> ha igen, akkor milyen formában és módon, különös tekintettel az érintett közéleti szerepvállalására, hivatására.</w:t>
      </w:r>
    </w:p>
    <w:p w14:paraId="7B0BE873" w14:textId="77777777" w:rsidR="00206DD7" w:rsidRPr="00133910" w:rsidRDefault="00206DD7" w:rsidP="00206DD7">
      <w:pPr>
        <w:pStyle w:val="NoSpacing"/>
        <w:spacing w:line="276" w:lineRule="auto"/>
        <w:jc w:val="both"/>
        <w:rPr>
          <w:rFonts w:cs="Times New Roman"/>
          <w:i/>
          <w:iCs/>
          <w:szCs w:val="24"/>
        </w:rPr>
      </w:pPr>
      <w:r w:rsidRPr="00133910">
        <w:rPr>
          <w:rFonts w:cs="Times New Roman"/>
          <w:i/>
          <w:iCs/>
          <w:szCs w:val="24"/>
        </w:rPr>
        <w:br/>
        <w:t>A Hatóság hangsúlyozza, hogy az érintett által nyilvánosságra hozott személyes adatok (pl. politikai vélemény) mellett, egyes további személyes adatok (pl. lakcím, telefonszám) médiaszolgáltatók általi terjesztése már jogellenesnek minősül. A személyes adatok felhasználásával kapcsolatban az adatkezelőknek fokozott figyelmet kell fordítaniuk az érintettek magánéletének, családi életének és otthonának tiszteletben tartásához fűződő jogára is, tartózkodva a személyes adatok zavaró, zaklató módon történő felhasználásától.</w:t>
      </w:r>
    </w:p>
    <w:p w14:paraId="12E16CAE" w14:textId="77777777" w:rsidR="00206DD7" w:rsidRPr="00133910" w:rsidRDefault="00206DD7" w:rsidP="00206DD7">
      <w:pPr>
        <w:pStyle w:val="NoSpacing"/>
        <w:spacing w:line="276" w:lineRule="auto"/>
        <w:jc w:val="both"/>
        <w:rPr>
          <w:rFonts w:cs="Times New Roman"/>
          <w:i/>
          <w:iCs/>
          <w:szCs w:val="24"/>
        </w:rPr>
      </w:pPr>
      <w:r w:rsidRPr="00133910">
        <w:rPr>
          <w:rFonts w:cs="Times New Roman"/>
          <w:i/>
          <w:iCs/>
          <w:szCs w:val="24"/>
        </w:rPr>
        <w:br/>
        <w:t>A médiaszolgáltató kizárólag abban az esetben és kizárólag abban az időtartamban tárolhatja jogszerűen az adatvédelmi incidens nyomán tudomására jutott személyes adatokat, ha képes annak igazolására, hogy az érintettek adatainak kezelése összeegyeztethető az általános adatvédelmi rendelet követelményeivel.</w:t>
      </w:r>
    </w:p>
    <w:p w14:paraId="6D130E13" w14:textId="77777777" w:rsidR="00206DD7" w:rsidRPr="00133910" w:rsidRDefault="00206DD7" w:rsidP="00206DD7">
      <w:pPr>
        <w:pStyle w:val="NoSpacing"/>
        <w:spacing w:line="276" w:lineRule="auto"/>
        <w:jc w:val="both"/>
        <w:rPr>
          <w:rFonts w:cs="Times New Roman"/>
          <w:i/>
          <w:iCs/>
          <w:szCs w:val="24"/>
        </w:rPr>
      </w:pPr>
      <w:r w:rsidRPr="00133910">
        <w:rPr>
          <w:rFonts w:cs="Times New Roman"/>
          <w:i/>
          <w:iCs/>
          <w:szCs w:val="24"/>
        </w:rPr>
        <w:br/>
        <w:t>A Hatóság végezetül rögzíti, hogy a fentiekben kifejtett követelmények vonatkoznak azon, a közéletben aktív személyekre is, akik az adatvédelmi incidens következtében nyilvánosságra került személyes és különleges adatokat a véleménynyilvánításhoz való joguk gyakorlása során felhasználják.”</w:t>
      </w:r>
    </w:p>
    <w:p w14:paraId="0F0FD7F5" w14:textId="77777777" w:rsidR="00206DD7" w:rsidRPr="00133910" w:rsidRDefault="00206DD7" w:rsidP="00206DD7">
      <w:pPr>
        <w:pStyle w:val="NoSpacing"/>
        <w:spacing w:line="276" w:lineRule="auto"/>
        <w:jc w:val="both"/>
        <w:rPr>
          <w:rFonts w:cs="Times New Roman"/>
          <w:szCs w:val="24"/>
        </w:rPr>
      </w:pPr>
    </w:p>
    <w:p w14:paraId="6DDC7871" w14:textId="77777777" w:rsidR="00206DD7" w:rsidRPr="00133910" w:rsidRDefault="00206DD7" w:rsidP="00206DD7">
      <w:pPr>
        <w:pStyle w:val="NoSpacing"/>
        <w:spacing w:line="276" w:lineRule="auto"/>
        <w:jc w:val="both"/>
        <w:rPr>
          <w:rFonts w:cs="Times New Roman"/>
          <w:szCs w:val="24"/>
        </w:rPr>
      </w:pPr>
    </w:p>
    <w:p w14:paraId="3E0567DC" w14:textId="77777777" w:rsidR="00206DD7" w:rsidRPr="00133910" w:rsidRDefault="00206DD7" w:rsidP="00206DD7">
      <w:pPr>
        <w:pStyle w:val="NoSpacing"/>
        <w:numPr>
          <w:ilvl w:val="0"/>
          <w:numId w:val="1"/>
        </w:numPr>
        <w:spacing w:line="276" w:lineRule="auto"/>
        <w:ind w:hanging="1080"/>
        <w:jc w:val="both"/>
        <w:rPr>
          <w:rFonts w:cs="Times New Roman"/>
          <w:szCs w:val="24"/>
        </w:rPr>
      </w:pPr>
      <w:r w:rsidRPr="00133910">
        <w:rPr>
          <w:rFonts w:cs="Times New Roman"/>
          <w:b/>
          <w:bCs/>
          <w:szCs w:val="24"/>
        </w:rPr>
        <w:t>A bűncselekmény: személyes adattal visszaélés vétsége</w:t>
      </w:r>
    </w:p>
    <w:p w14:paraId="706E3078" w14:textId="77777777" w:rsidR="00206DD7" w:rsidRPr="00133910" w:rsidRDefault="00206DD7" w:rsidP="00206DD7">
      <w:pPr>
        <w:pStyle w:val="NoSpacing"/>
        <w:spacing w:line="276" w:lineRule="auto"/>
        <w:jc w:val="both"/>
        <w:rPr>
          <w:rFonts w:cs="Times New Roman"/>
          <w:szCs w:val="24"/>
        </w:rPr>
      </w:pPr>
    </w:p>
    <w:p w14:paraId="4E466BB8" w14:textId="77777777" w:rsidR="00206DD7" w:rsidRPr="00133910" w:rsidRDefault="00206DD7" w:rsidP="00206DD7">
      <w:pPr>
        <w:pStyle w:val="NoSpacing"/>
        <w:spacing w:line="276" w:lineRule="auto"/>
        <w:jc w:val="both"/>
        <w:rPr>
          <w:rFonts w:cs="Times New Roman"/>
          <w:i/>
          <w:iCs/>
          <w:szCs w:val="24"/>
        </w:rPr>
      </w:pPr>
      <w:r w:rsidRPr="00133910">
        <w:rPr>
          <w:rFonts w:cs="Times New Roman"/>
          <w:i/>
          <w:iCs/>
          <w:szCs w:val="24"/>
        </w:rPr>
        <w:t>„219. § (1) Aki a személyes adatok védelméről vagy kezeléséről szóló törvényi vagy az Európai Unió kötelező jogi aktusában meghatározott rendelkezések megszegésével haszonszerzési célból vagy jelentős érdeksérelmet okozva</w:t>
      </w:r>
    </w:p>
    <w:p w14:paraId="7E9F62E8" w14:textId="77777777" w:rsidR="00206DD7" w:rsidRPr="00133910" w:rsidRDefault="00206DD7" w:rsidP="00206DD7">
      <w:pPr>
        <w:pStyle w:val="NoSpacing"/>
        <w:spacing w:line="276" w:lineRule="auto"/>
        <w:jc w:val="both"/>
        <w:rPr>
          <w:rFonts w:cs="Times New Roman"/>
          <w:i/>
          <w:iCs/>
          <w:szCs w:val="24"/>
        </w:rPr>
      </w:pPr>
      <w:r w:rsidRPr="00133910">
        <w:rPr>
          <w:rFonts w:cs="Times New Roman"/>
          <w:i/>
          <w:iCs/>
          <w:szCs w:val="24"/>
        </w:rPr>
        <w:lastRenderedPageBreak/>
        <w:t>a) jogosulatlanul vagy a céltól eltérően személyes adatot kezel vagy</w:t>
      </w:r>
    </w:p>
    <w:p w14:paraId="43A26228" w14:textId="77777777" w:rsidR="00206DD7" w:rsidRPr="00133910" w:rsidRDefault="00206DD7" w:rsidP="00206DD7">
      <w:pPr>
        <w:pStyle w:val="NoSpacing"/>
        <w:spacing w:line="276" w:lineRule="auto"/>
        <w:jc w:val="both"/>
        <w:rPr>
          <w:rFonts w:cs="Times New Roman"/>
          <w:i/>
          <w:iCs/>
          <w:szCs w:val="24"/>
        </w:rPr>
      </w:pPr>
      <w:r w:rsidRPr="00133910">
        <w:rPr>
          <w:rFonts w:cs="Times New Roman"/>
          <w:i/>
          <w:iCs/>
          <w:szCs w:val="24"/>
        </w:rPr>
        <w:t>b) az adatok biztonságát szolgáló intézkedést elmulasztja,</w:t>
      </w:r>
    </w:p>
    <w:p w14:paraId="479C6662" w14:textId="77777777" w:rsidR="00206DD7" w:rsidRPr="00133910" w:rsidRDefault="00206DD7" w:rsidP="00206DD7">
      <w:pPr>
        <w:pStyle w:val="NoSpacing"/>
        <w:spacing w:line="276" w:lineRule="auto"/>
        <w:jc w:val="both"/>
        <w:rPr>
          <w:rFonts w:cs="Times New Roman"/>
          <w:i/>
          <w:iCs/>
          <w:szCs w:val="24"/>
        </w:rPr>
      </w:pPr>
      <w:r w:rsidRPr="00133910">
        <w:rPr>
          <w:rFonts w:cs="Times New Roman"/>
          <w:i/>
          <w:iCs/>
          <w:szCs w:val="24"/>
        </w:rPr>
        <w:t>vétség miatt egy évig terjedő szabadságvesztéssel büntetendő.”</w:t>
      </w:r>
    </w:p>
    <w:p w14:paraId="56108CE0" w14:textId="77777777" w:rsidR="00206DD7" w:rsidRPr="00133910" w:rsidRDefault="00206DD7" w:rsidP="00206DD7">
      <w:pPr>
        <w:pStyle w:val="NoSpacing"/>
        <w:spacing w:line="276" w:lineRule="auto"/>
        <w:jc w:val="both"/>
        <w:rPr>
          <w:rFonts w:cs="Times New Roman"/>
          <w:i/>
          <w:iCs/>
          <w:szCs w:val="24"/>
        </w:rPr>
      </w:pPr>
    </w:p>
    <w:p w14:paraId="53F94DF5" w14:textId="77777777" w:rsidR="00206DD7" w:rsidRPr="00133910" w:rsidRDefault="00206DD7" w:rsidP="00206DD7">
      <w:pPr>
        <w:pStyle w:val="NoSpacing"/>
        <w:spacing w:line="276" w:lineRule="auto"/>
        <w:jc w:val="both"/>
        <w:rPr>
          <w:rFonts w:cs="Times New Roman"/>
          <w:szCs w:val="24"/>
        </w:rPr>
      </w:pPr>
      <w:r w:rsidRPr="00133910">
        <w:rPr>
          <w:rFonts w:cs="Times New Roman"/>
          <w:szCs w:val="24"/>
        </w:rPr>
        <w:t xml:space="preserve">A bűncselekmény </w:t>
      </w:r>
      <w:r w:rsidRPr="00133910">
        <w:rPr>
          <w:rFonts w:cs="Times New Roman"/>
          <w:szCs w:val="24"/>
          <w:u w:val="single"/>
        </w:rPr>
        <w:t>jogi tárgya</w:t>
      </w:r>
      <w:r w:rsidRPr="00133910">
        <w:rPr>
          <w:rFonts w:cs="Times New Roman"/>
          <w:szCs w:val="24"/>
        </w:rPr>
        <w:t xml:space="preserve"> az Alaptörvény VI. cikk (2) bekezdésében deklarált személyes adatok védelméhez való jog. A törvényi tényállás keretdiszpozíció, háttérjogszabálya az Európai Parlament és a Tanács 2016. április 27-i (EU) 2016/679 rendelete a természetes személyeknek a személyes adatok kezelése tekintetében történő védelméről és az ilyen adatok szabad áramlásáról, valamint a 95/46/EK irányelv hatályon kívül helyezéséről (továbbiakban: GDPR), valamint az információs önrendelkezési jogról és az információszabadságról szóló 2011. évi CXII. törvény (továbbiakban: </w:t>
      </w:r>
      <w:proofErr w:type="spellStart"/>
      <w:r w:rsidRPr="00133910">
        <w:rPr>
          <w:rFonts w:cs="Times New Roman"/>
          <w:szCs w:val="24"/>
        </w:rPr>
        <w:t>Info</w:t>
      </w:r>
      <w:proofErr w:type="spellEnd"/>
      <w:r w:rsidRPr="00133910">
        <w:rPr>
          <w:rFonts w:cs="Times New Roman"/>
          <w:szCs w:val="24"/>
        </w:rPr>
        <w:t>. tv.). A GDPR uniós rendeleti jogforrás, ezért közvetlen hatálya és elsőbbsége van a belső jogban is. Főszabály szerint minden személyes adat kezelésére kiterjed, akár automatikus, akár ember által kezelt nyilvántartási rendszerben történik.</w:t>
      </w:r>
    </w:p>
    <w:p w14:paraId="1E308F04" w14:textId="77777777" w:rsidR="00206DD7" w:rsidRPr="00133910" w:rsidRDefault="00206DD7" w:rsidP="00206DD7">
      <w:pPr>
        <w:pStyle w:val="NoSpacing"/>
        <w:spacing w:line="276" w:lineRule="auto"/>
        <w:jc w:val="both"/>
        <w:rPr>
          <w:rFonts w:cs="Times New Roman"/>
          <w:szCs w:val="24"/>
        </w:rPr>
      </w:pPr>
    </w:p>
    <w:p w14:paraId="47EB4C38" w14:textId="77777777" w:rsidR="00206DD7" w:rsidRPr="00133910" w:rsidRDefault="00206DD7" w:rsidP="00206DD7">
      <w:pPr>
        <w:pStyle w:val="NoSpacing"/>
        <w:spacing w:line="276" w:lineRule="auto"/>
        <w:jc w:val="both"/>
        <w:rPr>
          <w:rFonts w:cs="Times New Roman"/>
          <w:szCs w:val="24"/>
        </w:rPr>
      </w:pPr>
      <w:r w:rsidRPr="00133910">
        <w:rPr>
          <w:rFonts w:cs="Times New Roman"/>
          <w:szCs w:val="24"/>
        </w:rPr>
        <w:t xml:space="preserve">A bűncselekménynek sem passzív alanya, sem </w:t>
      </w:r>
      <w:r w:rsidRPr="00133910">
        <w:rPr>
          <w:rFonts w:cs="Times New Roman"/>
          <w:szCs w:val="24"/>
          <w:u w:val="single"/>
        </w:rPr>
        <w:t>elkövetési tárgya</w:t>
      </w:r>
      <w:r w:rsidRPr="00133910">
        <w:rPr>
          <w:rFonts w:cs="Times New Roman"/>
          <w:szCs w:val="24"/>
        </w:rPr>
        <w:t xml:space="preserve"> nincs. Az e körben érintett személyes adat eszmei kategória (annak tárgyiasult, rögzített formájában is). A személyes adat fogalmát a GDPR 4. cikk 1. pontja és az </w:t>
      </w:r>
      <w:proofErr w:type="spellStart"/>
      <w:r w:rsidRPr="00133910">
        <w:rPr>
          <w:rFonts w:cs="Times New Roman"/>
          <w:szCs w:val="24"/>
        </w:rPr>
        <w:t>Info</w:t>
      </w:r>
      <w:proofErr w:type="spellEnd"/>
      <w:r w:rsidRPr="00133910">
        <w:rPr>
          <w:rFonts w:cs="Times New Roman"/>
          <w:szCs w:val="24"/>
        </w:rPr>
        <w:t xml:space="preserve">. tv. 3. § 2. pontja határozza meg. A </w:t>
      </w:r>
      <w:r w:rsidRPr="00133910">
        <w:rPr>
          <w:rFonts w:cs="Times New Roman"/>
          <w:szCs w:val="24"/>
          <w:u w:val="single"/>
        </w:rPr>
        <w:t>bűncselekmény sértettje</w:t>
      </w:r>
      <w:r w:rsidRPr="00133910">
        <w:rPr>
          <w:rFonts w:cs="Times New Roman"/>
          <w:szCs w:val="24"/>
        </w:rPr>
        <w:t xml:space="preserve"> e személyes adat által érintett természetes személy.</w:t>
      </w:r>
    </w:p>
    <w:p w14:paraId="28D7C9ED" w14:textId="77777777" w:rsidR="00206DD7" w:rsidRPr="00133910" w:rsidRDefault="00206DD7" w:rsidP="00206DD7">
      <w:pPr>
        <w:pStyle w:val="NoSpacing"/>
        <w:spacing w:line="276" w:lineRule="auto"/>
        <w:jc w:val="both"/>
        <w:rPr>
          <w:rFonts w:cs="Times New Roman"/>
          <w:szCs w:val="24"/>
        </w:rPr>
      </w:pPr>
    </w:p>
    <w:p w14:paraId="796A4ACE" w14:textId="77777777" w:rsidR="00206DD7" w:rsidRPr="00133910" w:rsidRDefault="00206DD7" w:rsidP="00206DD7">
      <w:pPr>
        <w:pStyle w:val="NoSpacing"/>
        <w:spacing w:line="276" w:lineRule="auto"/>
        <w:jc w:val="both"/>
        <w:rPr>
          <w:rFonts w:cs="Times New Roman"/>
          <w:szCs w:val="24"/>
        </w:rPr>
      </w:pPr>
      <w:r w:rsidRPr="00133910">
        <w:rPr>
          <w:rFonts w:cs="Times New Roman"/>
          <w:szCs w:val="24"/>
        </w:rPr>
        <w:t xml:space="preserve">A Btk. 219. § (1) bekezdés a) pont szerinti fordulat </w:t>
      </w:r>
      <w:r w:rsidRPr="00133910">
        <w:rPr>
          <w:rFonts w:cs="Times New Roman"/>
          <w:szCs w:val="24"/>
          <w:u w:val="single"/>
        </w:rPr>
        <w:t>elkövetési magatartása</w:t>
      </w:r>
      <w:r w:rsidRPr="00133910">
        <w:rPr>
          <w:rFonts w:cs="Times New Roman"/>
          <w:szCs w:val="24"/>
        </w:rPr>
        <w:t xml:space="preserve"> a jogosulatlan vagy céltól eltérő adatkezelés, amely aktív magatartást jelent. Az adatkezelés fogalmát a GDPR 4. cikk 2. pontja és az </w:t>
      </w:r>
      <w:proofErr w:type="spellStart"/>
      <w:r w:rsidRPr="00133910">
        <w:rPr>
          <w:rFonts w:cs="Times New Roman"/>
          <w:szCs w:val="24"/>
        </w:rPr>
        <w:t>Info</w:t>
      </w:r>
      <w:proofErr w:type="spellEnd"/>
      <w:r w:rsidRPr="00133910">
        <w:rPr>
          <w:rFonts w:cs="Times New Roman"/>
          <w:szCs w:val="24"/>
        </w:rPr>
        <w:t xml:space="preserve">. tv. 3. § 10. pontja határozza meg. Az adatkezelés jogalapját a GDPR 6. cikk (1) bekezdése és az </w:t>
      </w:r>
      <w:proofErr w:type="spellStart"/>
      <w:r w:rsidRPr="00133910">
        <w:rPr>
          <w:rFonts w:cs="Times New Roman"/>
          <w:szCs w:val="24"/>
        </w:rPr>
        <w:t>Info</w:t>
      </w:r>
      <w:proofErr w:type="spellEnd"/>
      <w:r w:rsidRPr="00133910">
        <w:rPr>
          <w:rFonts w:cs="Times New Roman"/>
          <w:szCs w:val="24"/>
        </w:rPr>
        <w:t xml:space="preserve">. tv. 5. § (1) bekezdés határozza meg, az e jogalapok hiányában történő adatkezelés jogtalannak minősül, és ezáltal tényállásszerű. Az adatkezelés mindenkor célhoz kötött (a célhoz kötöttség elvéhez és szabályaihoz lásd GDPR 6. cikkét és az </w:t>
      </w:r>
      <w:proofErr w:type="spellStart"/>
      <w:r w:rsidRPr="00133910">
        <w:rPr>
          <w:rFonts w:cs="Times New Roman"/>
          <w:szCs w:val="24"/>
        </w:rPr>
        <w:t>Info</w:t>
      </w:r>
      <w:proofErr w:type="spellEnd"/>
      <w:r w:rsidRPr="00133910">
        <w:rPr>
          <w:rFonts w:cs="Times New Roman"/>
          <w:szCs w:val="24"/>
        </w:rPr>
        <w:t>. tv. 4. §-át), így az egyébként megfelelő jogalappal történő adatkezelés is tényállásszerű lesz, ha az a céljától eltérően történik.</w:t>
      </w:r>
    </w:p>
    <w:p w14:paraId="7DC4CC80" w14:textId="77777777" w:rsidR="00206DD7" w:rsidRPr="00133910" w:rsidRDefault="00206DD7" w:rsidP="00206DD7">
      <w:pPr>
        <w:pStyle w:val="NoSpacing"/>
        <w:spacing w:line="276" w:lineRule="auto"/>
        <w:jc w:val="both"/>
        <w:rPr>
          <w:rFonts w:cs="Times New Roman"/>
          <w:szCs w:val="24"/>
        </w:rPr>
      </w:pPr>
    </w:p>
    <w:p w14:paraId="01E63A86" w14:textId="77777777" w:rsidR="00206DD7" w:rsidRPr="00133910" w:rsidRDefault="00206DD7" w:rsidP="00206DD7">
      <w:pPr>
        <w:pStyle w:val="NoSpacing"/>
        <w:spacing w:line="276" w:lineRule="auto"/>
        <w:jc w:val="both"/>
        <w:rPr>
          <w:rFonts w:cs="Times New Roman"/>
          <w:szCs w:val="24"/>
        </w:rPr>
      </w:pPr>
      <w:r w:rsidRPr="00133910">
        <w:rPr>
          <w:rFonts w:cs="Times New Roman"/>
          <w:szCs w:val="24"/>
        </w:rPr>
        <w:t xml:space="preserve">A bűncselekmény Btk. 219. § (1) bekezdés a) pont szerinti, első </w:t>
      </w:r>
      <w:proofErr w:type="spellStart"/>
      <w:r w:rsidRPr="00133910">
        <w:rPr>
          <w:rFonts w:cs="Times New Roman"/>
          <w:szCs w:val="24"/>
        </w:rPr>
        <w:t>alakzata</w:t>
      </w:r>
      <w:proofErr w:type="spellEnd"/>
      <w:r w:rsidRPr="00133910">
        <w:rPr>
          <w:rFonts w:cs="Times New Roman"/>
          <w:szCs w:val="24"/>
        </w:rPr>
        <w:t xml:space="preserve"> közönséges bűncselekmény, </w:t>
      </w:r>
      <w:r w:rsidRPr="00133910">
        <w:rPr>
          <w:rFonts w:cs="Times New Roman"/>
          <w:szCs w:val="24"/>
          <w:u w:val="single"/>
        </w:rPr>
        <w:t>tettese bárki lehet</w:t>
      </w:r>
      <w:r w:rsidRPr="00133910">
        <w:rPr>
          <w:rFonts w:cs="Times New Roman"/>
          <w:szCs w:val="24"/>
        </w:rPr>
        <w:t xml:space="preserve">. </w:t>
      </w:r>
    </w:p>
    <w:p w14:paraId="785FC912" w14:textId="77777777" w:rsidR="00206DD7" w:rsidRPr="00133910" w:rsidRDefault="00206DD7" w:rsidP="00206DD7">
      <w:pPr>
        <w:pStyle w:val="NoSpacing"/>
        <w:spacing w:line="276" w:lineRule="auto"/>
        <w:jc w:val="both"/>
        <w:rPr>
          <w:rFonts w:cs="Times New Roman"/>
          <w:szCs w:val="24"/>
        </w:rPr>
      </w:pPr>
    </w:p>
    <w:p w14:paraId="0DB19FB2" w14:textId="77777777" w:rsidR="00206DD7" w:rsidRPr="00133910" w:rsidRDefault="00206DD7" w:rsidP="00206DD7">
      <w:pPr>
        <w:pStyle w:val="NoSpacing"/>
        <w:spacing w:line="276" w:lineRule="auto"/>
        <w:jc w:val="both"/>
        <w:rPr>
          <w:rFonts w:cs="Times New Roman"/>
          <w:szCs w:val="24"/>
        </w:rPr>
      </w:pPr>
      <w:r w:rsidRPr="00133910">
        <w:rPr>
          <w:rFonts w:cs="Times New Roman"/>
          <w:szCs w:val="24"/>
        </w:rPr>
        <w:t>Az ismertetett tényállás alapján ismeretlen elkövető(k) a birtokukba jutott, több százezer személy személyes adatára vonatkozó adatelemzést és/vagy gyűjtést végeztek, ami egyértelműen adatkezelői tevékenységnek minősül, ahogy az adatok „</w:t>
      </w:r>
      <w:proofErr w:type="spellStart"/>
      <w:r w:rsidRPr="00133910">
        <w:rPr>
          <w:rFonts w:cs="Times New Roman"/>
          <w:szCs w:val="24"/>
        </w:rPr>
        <w:t>utánközlése</w:t>
      </w:r>
      <w:proofErr w:type="spellEnd"/>
      <w:r w:rsidRPr="00133910">
        <w:rPr>
          <w:rFonts w:cs="Times New Roman"/>
          <w:szCs w:val="24"/>
        </w:rPr>
        <w:t>” vagy hozzáférhetővé tétele is bármilyen módon.</w:t>
      </w:r>
    </w:p>
    <w:p w14:paraId="72482622" w14:textId="77777777" w:rsidR="00206DD7" w:rsidRPr="00133910" w:rsidRDefault="00206DD7" w:rsidP="00206DD7">
      <w:pPr>
        <w:pStyle w:val="NoSpacing"/>
        <w:spacing w:line="276" w:lineRule="auto"/>
        <w:jc w:val="both"/>
        <w:rPr>
          <w:rFonts w:cs="Times New Roman"/>
          <w:szCs w:val="24"/>
        </w:rPr>
      </w:pPr>
    </w:p>
    <w:p w14:paraId="54EBE893" w14:textId="77777777" w:rsidR="00206DD7" w:rsidRDefault="00206DD7" w:rsidP="00206DD7">
      <w:pPr>
        <w:pStyle w:val="NoSpacing"/>
        <w:spacing w:line="276" w:lineRule="auto"/>
        <w:jc w:val="both"/>
        <w:rPr>
          <w:rFonts w:cs="Times New Roman"/>
          <w:b/>
          <w:bCs/>
          <w:szCs w:val="24"/>
        </w:rPr>
      </w:pPr>
      <w:r w:rsidRPr="00133910">
        <w:rPr>
          <w:rFonts w:cs="Times New Roman"/>
          <w:b/>
          <w:bCs/>
          <w:szCs w:val="24"/>
        </w:rPr>
        <w:t>Tekintettel arra, hogy az applikációban rögzített adatkezelés ténye egyben politikai véleményre is utal (ahogy az megjelenik a fent idézett NAIH álláspontban is), és arra, hogy a politikai vélemény különleges adatnak minősül a GDPR Rendelet 9. cikke szerint, a cselekmény különleges adattal visszaélést is megvalósít a Btk. 219. § (3) bekezdése alapján a személyes adattal való visszaélés alapeseti megvalósulásával halmazatban.</w:t>
      </w:r>
    </w:p>
    <w:p w14:paraId="794643C3" w14:textId="77777777" w:rsidR="00206DD7" w:rsidRPr="00133910" w:rsidRDefault="00206DD7" w:rsidP="00206DD7">
      <w:pPr>
        <w:pStyle w:val="NoSpacing"/>
        <w:spacing w:line="276" w:lineRule="auto"/>
        <w:jc w:val="both"/>
        <w:rPr>
          <w:rFonts w:cs="Times New Roman"/>
          <w:b/>
          <w:bCs/>
          <w:szCs w:val="24"/>
        </w:rPr>
      </w:pPr>
    </w:p>
    <w:p w14:paraId="17A2936B" w14:textId="77777777" w:rsidR="00206DD7" w:rsidRPr="00133910" w:rsidRDefault="00206DD7" w:rsidP="00206DD7">
      <w:pPr>
        <w:pStyle w:val="NoSpacing"/>
        <w:spacing w:line="276" w:lineRule="auto"/>
        <w:jc w:val="both"/>
        <w:rPr>
          <w:rFonts w:cs="Times New Roman"/>
          <w:szCs w:val="24"/>
        </w:rPr>
      </w:pPr>
    </w:p>
    <w:p w14:paraId="52FE21D9" w14:textId="77777777" w:rsidR="00206DD7" w:rsidRPr="00133910" w:rsidRDefault="00206DD7" w:rsidP="00206DD7">
      <w:pPr>
        <w:pStyle w:val="NoSpacing"/>
        <w:numPr>
          <w:ilvl w:val="0"/>
          <w:numId w:val="1"/>
        </w:numPr>
        <w:spacing w:line="276" w:lineRule="auto"/>
        <w:ind w:hanging="1080"/>
        <w:jc w:val="both"/>
        <w:rPr>
          <w:rFonts w:cs="Times New Roman"/>
          <w:b/>
          <w:bCs/>
          <w:szCs w:val="24"/>
        </w:rPr>
      </w:pPr>
      <w:r w:rsidRPr="00133910">
        <w:rPr>
          <w:rFonts w:cs="Times New Roman"/>
          <w:b/>
          <w:bCs/>
          <w:szCs w:val="24"/>
        </w:rPr>
        <w:lastRenderedPageBreak/>
        <w:t>Indítványok</w:t>
      </w:r>
    </w:p>
    <w:p w14:paraId="7A656196" w14:textId="77777777" w:rsidR="00206DD7" w:rsidRPr="00133910" w:rsidRDefault="00206DD7" w:rsidP="00206DD7">
      <w:pPr>
        <w:pStyle w:val="NoSpacing"/>
        <w:spacing w:line="276" w:lineRule="auto"/>
        <w:jc w:val="both"/>
        <w:rPr>
          <w:rFonts w:cs="Times New Roman"/>
          <w:szCs w:val="24"/>
        </w:rPr>
      </w:pPr>
    </w:p>
    <w:p w14:paraId="1E5DBCF1" w14:textId="77777777" w:rsidR="00206DD7" w:rsidRPr="00133910" w:rsidRDefault="00206DD7" w:rsidP="00206DD7">
      <w:pPr>
        <w:pStyle w:val="NoSpacing"/>
        <w:spacing w:line="276" w:lineRule="auto"/>
        <w:jc w:val="both"/>
        <w:rPr>
          <w:rFonts w:cs="Times New Roman"/>
          <w:szCs w:val="24"/>
        </w:rPr>
      </w:pPr>
      <w:r w:rsidRPr="00133910">
        <w:rPr>
          <w:rFonts w:cs="Times New Roman"/>
          <w:szCs w:val="24"/>
        </w:rPr>
        <w:t>A nyomozás elrendelését követően indítványozom:</w:t>
      </w:r>
    </w:p>
    <w:p w14:paraId="0D26305D" w14:textId="77777777" w:rsidR="00206DD7" w:rsidRPr="00133910" w:rsidRDefault="00206DD7" w:rsidP="00206DD7">
      <w:pPr>
        <w:pStyle w:val="NoSpacing"/>
        <w:numPr>
          <w:ilvl w:val="0"/>
          <w:numId w:val="3"/>
        </w:numPr>
        <w:spacing w:line="276" w:lineRule="auto"/>
        <w:jc w:val="both"/>
        <w:rPr>
          <w:rFonts w:cs="Times New Roman"/>
          <w:szCs w:val="24"/>
        </w:rPr>
      </w:pPr>
      <w:r w:rsidRPr="00133910">
        <w:rPr>
          <w:rFonts w:cs="Times New Roman"/>
          <w:szCs w:val="24"/>
        </w:rPr>
        <w:t xml:space="preserve">a bűncselekmények elkövetésével megalapozottan gyanúsítható valamennyi személy </w:t>
      </w:r>
      <w:proofErr w:type="spellStart"/>
      <w:r w:rsidRPr="00133910">
        <w:rPr>
          <w:rFonts w:cs="Times New Roman"/>
          <w:szCs w:val="24"/>
        </w:rPr>
        <w:t>gyanúsítottkénti</w:t>
      </w:r>
      <w:proofErr w:type="spellEnd"/>
      <w:r w:rsidRPr="00133910">
        <w:rPr>
          <w:rFonts w:cs="Times New Roman"/>
          <w:szCs w:val="24"/>
        </w:rPr>
        <w:t xml:space="preserve"> kihallgatását,</w:t>
      </w:r>
    </w:p>
    <w:p w14:paraId="0D1A05DA" w14:textId="77777777" w:rsidR="00206DD7" w:rsidRPr="00133910" w:rsidRDefault="00206DD7" w:rsidP="00206DD7">
      <w:pPr>
        <w:pStyle w:val="NoSpacing"/>
        <w:numPr>
          <w:ilvl w:val="0"/>
          <w:numId w:val="3"/>
        </w:numPr>
        <w:spacing w:line="276" w:lineRule="auto"/>
        <w:jc w:val="both"/>
        <w:rPr>
          <w:rFonts w:cs="Times New Roman"/>
          <w:szCs w:val="24"/>
        </w:rPr>
      </w:pPr>
      <w:r w:rsidRPr="00133910">
        <w:rPr>
          <w:rFonts w:cs="Times New Roman"/>
          <w:szCs w:val="24"/>
        </w:rPr>
        <w:t>hogy kutatás keretében foglalják le minden érintett sajtóorgánum számítástechnikai eszközeit annak megállapítása céljából, hogy a személyes adataim kezelése ki által és milyen módon történt,</w:t>
      </w:r>
    </w:p>
    <w:p w14:paraId="3A5F3A29" w14:textId="77777777" w:rsidR="00206DD7" w:rsidRPr="00133910" w:rsidRDefault="00206DD7" w:rsidP="00206DD7">
      <w:pPr>
        <w:pStyle w:val="NoSpacing"/>
        <w:numPr>
          <w:ilvl w:val="0"/>
          <w:numId w:val="3"/>
        </w:numPr>
        <w:spacing w:line="276" w:lineRule="auto"/>
        <w:jc w:val="both"/>
        <w:rPr>
          <w:rFonts w:cs="Times New Roman"/>
          <w:szCs w:val="24"/>
        </w:rPr>
      </w:pPr>
      <w:r w:rsidRPr="00133910">
        <w:rPr>
          <w:rFonts w:cs="Times New Roman"/>
          <w:szCs w:val="24"/>
        </w:rPr>
        <w:t>annak vizsgálatát, hogy milyen további személyek tették hozzáférhetővé, hozták nyilvánosságra a személyes adataimat,</w:t>
      </w:r>
    </w:p>
    <w:p w14:paraId="7247190C" w14:textId="77777777" w:rsidR="00206DD7" w:rsidRPr="00133910" w:rsidRDefault="00206DD7" w:rsidP="00206DD7">
      <w:pPr>
        <w:pStyle w:val="NoSpacing"/>
        <w:numPr>
          <w:ilvl w:val="0"/>
          <w:numId w:val="3"/>
        </w:numPr>
        <w:spacing w:line="276" w:lineRule="auto"/>
        <w:jc w:val="both"/>
        <w:rPr>
          <w:rFonts w:cs="Times New Roman"/>
          <w:szCs w:val="24"/>
        </w:rPr>
      </w:pPr>
      <w:r w:rsidRPr="00133910">
        <w:rPr>
          <w:rFonts w:cs="Times New Roman"/>
          <w:szCs w:val="24"/>
        </w:rPr>
        <w:t>annak vizsgálatát, hogy van-e lehetőség a jogi személlyel szemben alkalmazható büntetőjogi intézkedésekről szóló 2001. évi CIV. törvény szerinti intézkedések alkalmazására,</w:t>
      </w:r>
    </w:p>
    <w:p w14:paraId="2C98DF9D" w14:textId="77777777" w:rsidR="00206DD7" w:rsidRPr="00133910" w:rsidRDefault="00206DD7" w:rsidP="00206DD7">
      <w:pPr>
        <w:pStyle w:val="NoSpacing"/>
        <w:numPr>
          <w:ilvl w:val="0"/>
          <w:numId w:val="3"/>
        </w:numPr>
        <w:spacing w:line="276" w:lineRule="auto"/>
        <w:jc w:val="both"/>
        <w:rPr>
          <w:rFonts w:cs="Times New Roman"/>
          <w:szCs w:val="24"/>
        </w:rPr>
      </w:pPr>
      <w:r w:rsidRPr="00133910">
        <w:rPr>
          <w:rFonts w:cs="Times New Roman"/>
          <w:szCs w:val="24"/>
        </w:rPr>
        <w:t>indítványozom a Be. 336. § szerint az elektronikus adat ideiglenes hozzáférhetetlenné tételének alkalmazását.</w:t>
      </w:r>
    </w:p>
    <w:p w14:paraId="7FC7666B" w14:textId="77777777" w:rsidR="00206DD7" w:rsidRPr="00133910" w:rsidRDefault="00206DD7" w:rsidP="00206DD7">
      <w:pPr>
        <w:pStyle w:val="NoSpacing"/>
        <w:spacing w:line="276" w:lineRule="auto"/>
        <w:jc w:val="both"/>
        <w:rPr>
          <w:rFonts w:cs="Times New Roman"/>
          <w:szCs w:val="24"/>
        </w:rPr>
      </w:pPr>
    </w:p>
    <w:p w14:paraId="1FB115A7" w14:textId="77777777" w:rsidR="00206DD7" w:rsidRPr="00133910" w:rsidRDefault="00206DD7" w:rsidP="00206DD7">
      <w:pPr>
        <w:pStyle w:val="NoSpacing"/>
        <w:spacing w:line="276" w:lineRule="auto"/>
        <w:jc w:val="both"/>
        <w:rPr>
          <w:rFonts w:cs="Times New Roman"/>
          <w:szCs w:val="24"/>
        </w:rPr>
      </w:pPr>
    </w:p>
    <w:p w14:paraId="67986807" w14:textId="77777777" w:rsidR="00206DD7" w:rsidRPr="00133910" w:rsidRDefault="00206DD7" w:rsidP="00206DD7">
      <w:pPr>
        <w:pStyle w:val="NoSpacing"/>
        <w:spacing w:line="276" w:lineRule="auto"/>
        <w:jc w:val="both"/>
        <w:rPr>
          <w:rFonts w:cs="Times New Roman"/>
          <w:szCs w:val="24"/>
        </w:rPr>
      </w:pPr>
      <w:r>
        <w:rPr>
          <w:rFonts w:cs="Times New Roman"/>
          <w:szCs w:val="24"/>
        </w:rPr>
        <w:t>[</w:t>
      </w:r>
      <w:r w:rsidRPr="00133910">
        <w:rPr>
          <w:rFonts w:cs="Times New Roman"/>
          <w:szCs w:val="24"/>
          <w:highlight w:val="yellow"/>
        </w:rPr>
        <w:t>település</w:t>
      </w:r>
      <w:r>
        <w:rPr>
          <w:rFonts w:cs="Times New Roman"/>
          <w:szCs w:val="24"/>
          <w:lang w:val="en-US"/>
        </w:rPr>
        <w:t>]</w:t>
      </w:r>
      <w:r w:rsidRPr="00133910">
        <w:rPr>
          <w:rFonts w:cs="Times New Roman"/>
          <w:szCs w:val="24"/>
        </w:rPr>
        <w:t xml:space="preserve">, 2025. november </w:t>
      </w:r>
      <w:r w:rsidRPr="00133910">
        <w:rPr>
          <w:rFonts w:cs="Times New Roman"/>
          <w:szCs w:val="24"/>
          <w:highlight w:val="yellow"/>
        </w:rPr>
        <w:t>„…”</w:t>
      </w:r>
    </w:p>
    <w:p w14:paraId="5CDBD5DE" w14:textId="77777777" w:rsidR="00206DD7" w:rsidRPr="00133910" w:rsidRDefault="00206DD7" w:rsidP="00206DD7">
      <w:pPr>
        <w:pStyle w:val="NoSpacing"/>
        <w:spacing w:line="276" w:lineRule="auto"/>
        <w:jc w:val="both"/>
        <w:rPr>
          <w:rFonts w:cs="Times New Roman"/>
          <w:szCs w:val="24"/>
        </w:rPr>
      </w:pPr>
    </w:p>
    <w:p w14:paraId="78A8931E" w14:textId="77777777" w:rsidR="00206DD7" w:rsidRPr="00133910" w:rsidRDefault="00206DD7" w:rsidP="00206DD7">
      <w:pPr>
        <w:pStyle w:val="NoSpacing"/>
        <w:spacing w:line="276" w:lineRule="auto"/>
        <w:jc w:val="both"/>
        <w:rPr>
          <w:rFonts w:cs="Times New Roman"/>
          <w:szCs w:val="24"/>
        </w:rPr>
      </w:pPr>
    </w:p>
    <w:p w14:paraId="7620CE32" w14:textId="77777777" w:rsidR="00206DD7" w:rsidRPr="00133910" w:rsidRDefault="00206DD7" w:rsidP="00206DD7">
      <w:pPr>
        <w:pStyle w:val="NoSpacing"/>
        <w:spacing w:line="276" w:lineRule="auto"/>
        <w:jc w:val="both"/>
        <w:rPr>
          <w:rFonts w:cs="Times New Roman"/>
          <w:szCs w:val="24"/>
        </w:rPr>
      </w:pPr>
    </w:p>
    <w:p w14:paraId="63934E5F" w14:textId="77777777" w:rsidR="00206DD7" w:rsidRPr="00133910" w:rsidRDefault="00206DD7" w:rsidP="00206DD7">
      <w:pPr>
        <w:pStyle w:val="NoSpacing"/>
        <w:spacing w:line="276" w:lineRule="auto"/>
        <w:jc w:val="both"/>
        <w:rPr>
          <w:rFonts w:cs="Times New Roman"/>
          <w:szCs w:val="24"/>
        </w:rPr>
      </w:pPr>
    </w:p>
    <w:p w14:paraId="2532763E" w14:textId="77777777" w:rsidR="00206DD7" w:rsidRPr="00133910" w:rsidRDefault="00206DD7" w:rsidP="00206DD7">
      <w:pPr>
        <w:pStyle w:val="NoSpacing"/>
        <w:spacing w:line="276" w:lineRule="auto"/>
        <w:jc w:val="both"/>
        <w:rPr>
          <w:rFonts w:cs="Times New Roman"/>
          <w:szCs w:val="24"/>
        </w:rPr>
      </w:pPr>
      <w:r w:rsidRPr="00133910">
        <w:rPr>
          <w:rFonts w:cs="Times New Roman"/>
          <w:szCs w:val="24"/>
        </w:rPr>
        <w:tab/>
      </w:r>
      <w:r w:rsidRPr="00133910">
        <w:rPr>
          <w:rFonts w:cs="Times New Roman"/>
          <w:szCs w:val="24"/>
        </w:rPr>
        <w:tab/>
      </w:r>
      <w:r w:rsidRPr="00133910">
        <w:rPr>
          <w:rFonts w:cs="Times New Roman"/>
          <w:szCs w:val="24"/>
        </w:rPr>
        <w:tab/>
      </w:r>
      <w:r w:rsidRPr="00133910">
        <w:rPr>
          <w:rFonts w:cs="Times New Roman"/>
          <w:szCs w:val="24"/>
        </w:rPr>
        <w:tab/>
      </w:r>
      <w:r w:rsidRPr="00133910">
        <w:rPr>
          <w:rFonts w:cs="Times New Roman"/>
          <w:szCs w:val="24"/>
        </w:rPr>
        <w:tab/>
      </w:r>
      <w:r w:rsidRPr="00133910">
        <w:rPr>
          <w:rFonts w:cs="Times New Roman"/>
          <w:szCs w:val="24"/>
        </w:rPr>
        <w:tab/>
      </w:r>
      <w:r w:rsidRPr="00133910">
        <w:rPr>
          <w:rFonts w:cs="Times New Roman"/>
          <w:szCs w:val="24"/>
        </w:rPr>
        <w:tab/>
      </w:r>
      <w:r w:rsidRPr="00133910">
        <w:rPr>
          <w:rFonts w:cs="Times New Roman"/>
          <w:szCs w:val="24"/>
        </w:rPr>
        <w:tab/>
        <w:t>…………………………</w:t>
      </w:r>
    </w:p>
    <w:p w14:paraId="1BEEF94C" w14:textId="77777777" w:rsidR="00206DD7" w:rsidRPr="00133910" w:rsidRDefault="00206DD7" w:rsidP="00206DD7">
      <w:pPr>
        <w:pStyle w:val="NoSpacing"/>
        <w:spacing w:line="276" w:lineRule="auto"/>
        <w:jc w:val="both"/>
        <w:rPr>
          <w:rFonts w:cs="Times New Roman"/>
          <w:szCs w:val="24"/>
        </w:rPr>
      </w:pPr>
      <w:r w:rsidRPr="00133910">
        <w:rPr>
          <w:rFonts w:cs="Times New Roman"/>
          <w:szCs w:val="24"/>
        </w:rPr>
        <w:tab/>
      </w:r>
      <w:r w:rsidRPr="00133910">
        <w:rPr>
          <w:rFonts w:cs="Times New Roman"/>
          <w:szCs w:val="24"/>
        </w:rPr>
        <w:tab/>
      </w:r>
      <w:r w:rsidRPr="00133910">
        <w:rPr>
          <w:rFonts w:cs="Times New Roman"/>
          <w:szCs w:val="24"/>
        </w:rPr>
        <w:tab/>
      </w:r>
      <w:r w:rsidRPr="00133910">
        <w:rPr>
          <w:rFonts w:cs="Times New Roman"/>
          <w:szCs w:val="24"/>
        </w:rPr>
        <w:tab/>
      </w:r>
      <w:r w:rsidRPr="00133910">
        <w:rPr>
          <w:rFonts w:cs="Times New Roman"/>
          <w:szCs w:val="24"/>
        </w:rPr>
        <w:tab/>
      </w:r>
      <w:r w:rsidRPr="00133910">
        <w:rPr>
          <w:rFonts w:cs="Times New Roman"/>
          <w:szCs w:val="24"/>
        </w:rPr>
        <w:tab/>
      </w:r>
      <w:r w:rsidRPr="00133910">
        <w:rPr>
          <w:rFonts w:cs="Times New Roman"/>
          <w:szCs w:val="24"/>
        </w:rPr>
        <w:tab/>
      </w:r>
      <w:r w:rsidRPr="00133910">
        <w:rPr>
          <w:rFonts w:cs="Times New Roman"/>
          <w:szCs w:val="24"/>
        </w:rPr>
        <w:tab/>
        <w:t xml:space="preserve">   </w:t>
      </w:r>
      <w:r w:rsidRPr="00133910">
        <w:rPr>
          <w:rFonts w:cs="Times New Roman"/>
          <w:szCs w:val="24"/>
        </w:rPr>
        <w:tab/>
        <w:t xml:space="preserve"> feljelentő </w:t>
      </w:r>
    </w:p>
    <w:p w14:paraId="39DEAB1B" w14:textId="77777777" w:rsidR="00206DD7" w:rsidRPr="00133910" w:rsidRDefault="00206DD7" w:rsidP="00206DD7">
      <w:pPr>
        <w:pStyle w:val="NoSpacing"/>
        <w:spacing w:line="276" w:lineRule="auto"/>
        <w:jc w:val="both"/>
        <w:rPr>
          <w:rFonts w:cs="Times New Roman"/>
          <w:szCs w:val="24"/>
        </w:rPr>
      </w:pPr>
      <w:r w:rsidRPr="00133910">
        <w:rPr>
          <w:rFonts w:cs="Times New Roman"/>
          <w:szCs w:val="24"/>
        </w:rPr>
        <w:tab/>
      </w:r>
      <w:r w:rsidRPr="00133910">
        <w:rPr>
          <w:rFonts w:cs="Times New Roman"/>
          <w:szCs w:val="24"/>
        </w:rPr>
        <w:tab/>
      </w:r>
      <w:r w:rsidRPr="00133910">
        <w:rPr>
          <w:rFonts w:cs="Times New Roman"/>
          <w:szCs w:val="24"/>
        </w:rPr>
        <w:tab/>
      </w:r>
      <w:r w:rsidRPr="00133910">
        <w:rPr>
          <w:rFonts w:cs="Times New Roman"/>
          <w:szCs w:val="24"/>
        </w:rPr>
        <w:tab/>
      </w:r>
      <w:r w:rsidRPr="00133910">
        <w:rPr>
          <w:rFonts w:cs="Times New Roman"/>
          <w:szCs w:val="24"/>
        </w:rPr>
        <w:tab/>
      </w:r>
      <w:r w:rsidRPr="00133910">
        <w:rPr>
          <w:rFonts w:cs="Times New Roman"/>
          <w:szCs w:val="24"/>
        </w:rPr>
        <w:tab/>
      </w:r>
      <w:r w:rsidRPr="00133910">
        <w:rPr>
          <w:rFonts w:cs="Times New Roman"/>
          <w:szCs w:val="24"/>
        </w:rPr>
        <w:tab/>
      </w:r>
      <w:r w:rsidRPr="00133910">
        <w:rPr>
          <w:rFonts w:cs="Times New Roman"/>
          <w:szCs w:val="24"/>
        </w:rPr>
        <w:tab/>
      </w:r>
    </w:p>
    <w:p w14:paraId="6AFA6F5E" w14:textId="77777777" w:rsidR="00ED2FB2" w:rsidRDefault="00ED2FB2"/>
    <w:sectPr w:rsidR="00ED2FB2" w:rsidSect="00206DD7">
      <w:headerReference w:type="default" r:id="rId9"/>
      <w:footerReference w:type="even"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D8D92" w14:textId="77777777" w:rsidR="00350E38" w:rsidRDefault="00350E38" w:rsidP="00287597">
      <w:pPr>
        <w:spacing w:after="0" w:line="240" w:lineRule="auto"/>
      </w:pPr>
      <w:r>
        <w:separator/>
      </w:r>
    </w:p>
  </w:endnote>
  <w:endnote w:type="continuationSeparator" w:id="0">
    <w:p w14:paraId="5739913E" w14:textId="77777777" w:rsidR="00350E38" w:rsidRDefault="00350E38" w:rsidP="00287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2054823"/>
      <w:docPartObj>
        <w:docPartGallery w:val="Page Numbers (Bottom of Page)"/>
        <w:docPartUnique/>
      </w:docPartObj>
    </w:sdtPr>
    <w:sdtContent>
      <w:p w14:paraId="31713661" w14:textId="33D84090" w:rsidR="00287597" w:rsidRDefault="00287597" w:rsidP="0066570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67DC165" w14:textId="77777777" w:rsidR="00287597" w:rsidRDefault="00287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8652588"/>
      <w:docPartObj>
        <w:docPartGallery w:val="Page Numbers (Bottom of Page)"/>
        <w:docPartUnique/>
      </w:docPartObj>
    </w:sdtPr>
    <w:sdtContent>
      <w:p w14:paraId="3DAB4CF5" w14:textId="6D4DC350" w:rsidR="00287597" w:rsidRDefault="00287597" w:rsidP="0066570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27A01FF" w14:textId="77777777" w:rsidR="00287597" w:rsidRDefault="00287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E5A3D" w14:textId="77777777" w:rsidR="00350E38" w:rsidRDefault="00350E38" w:rsidP="00287597">
      <w:pPr>
        <w:spacing w:after="0" w:line="240" w:lineRule="auto"/>
      </w:pPr>
      <w:r>
        <w:separator/>
      </w:r>
    </w:p>
  </w:footnote>
  <w:footnote w:type="continuationSeparator" w:id="0">
    <w:p w14:paraId="65083F07" w14:textId="77777777" w:rsidR="00350E38" w:rsidRDefault="00350E38" w:rsidP="00287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0420" w14:textId="281D28C0" w:rsidR="00206DD7" w:rsidRDefault="00206DD7">
    <w:pPr>
      <w:pStyle w:val="Header"/>
      <w:jc w:val="center"/>
    </w:pPr>
  </w:p>
  <w:p w14:paraId="5B4606E1" w14:textId="77777777" w:rsidR="00206DD7" w:rsidRDefault="00206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D242F"/>
    <w:multiLevelType w:val="hybridMultilevel"/>
    <w:tmpl w:val="50D4510E"/>
    <w:lvl w:ilvl="0" w:tplc="FC528390">
      <w:start w:val="1"/>
      <w:numFmt w:val="upperRoman"/>
      <w:lvlText w:val="%1.)"/>
      <w:lvlJc w:val="left"/>
      <w:pPr>
        <w:ind w:left="1080" w:hanging="72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61832FCE"/>
    <w:multiLevelType w:val="hybridMultilevel"/>
    <w:tmpl w:val="16F052C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7BCB66E6"/>
    <w:multiLevelType w:val="hybridMultilevel"/>
    <w:tmpl w:val="B926922C"/>
    <w:lvl w:ilvl="0" w:tplc="83C487F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24092521">
    <w:abstractNumId w:val="0"/>
  </w:num>
  <w:num w:numId="2" w16cid:durableId="384792830">
    <w:abstractNumId w:val="1"/>
  </w:num>
  <w:num w:numId="3" w16cid:durableId="191387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DD7"/>
    <w:rsid w:val="001D5631"/>
    <w:rsid w:val="00206DD7"/>
    <w:rsid w:val="002647C3"/>
    <w:rsid w:val="00287597"/>
    <w:rsid w:val="00350E38"/>
    <w:rsid w:val="003B64CA"/>
    <w:rsid w:val="003C633D"/>
    <w:rsid w:val="00562B63"/>
    <w:rsid w:val="005D268B"/>
    <w:rsid w:val="006C53AB"/>
    <w:rsid w:val="007F06F6"/>
    <w:rsid w:val="00945DDF"/>
    <w:rsid w:val="00994B34"/>
    <w:rsid w:val="00A166FD"/>
    <w:rsid w:val="00A55E32"/>
    <w:rsid w:val="00B10029"/>
    <w:rsid w:val="00B271B1"/>
    <w:rsid w:val="00BA2880"/>
    <w:rsid w:val="00D07A4D"/>
    <w:rsid w:val="00D276D4"/>
    <w:rsid w:val="00D63395"/>
    <w:rsid w:val="00E73638"/>
    <w:rsid w:val="00ED2FB2"/>
  </w:rsids>
  <m:mathPr>
    <m:mathFont m:val="Cambria Math"/>
    <m:brkBin m:val="before"/>
    <m:brkBinSub m:val="--"/>
    <m:smallFrac m:val="0"/>
    <m:dispDef/>
    <m:lMargin m:val="0"/>
    <m:rMargin m:val="0"/>
    <m:defJc m:val="centerGroup"/>
    <m:wrapIndent m:val="1440"/>
    <m:intLim m:val="subSup"/>
    <m:naryLim m:val="undOvr"/>
  </m:mathPr>
  <w:themeFontLang w:val="en-HU"/>
  <w:clrSchemeMapping w:bg1="light1" w:t1="dark1" w:bg2="light2" w:t2="dark2" w:accent1="accent1" w:accent2="accent2" w:accent3="accent3" w:accent4="accent4" w:accent5="accent5" w:accent6="accent6" w:hyperlink="hyperlink" w:followedHyperlink="followedHyperlink"/>
  <w:decimalSymbol w:val=","/>
  <w:listSeparator w:val=","/>
  <w14:docId w14:val="54B3484E"/>
  <w15:chartTrackingRefBased/>
  <w15:docId w15:val="{D1280B85-CC87-4E4B-9BAB-DAACED38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6"/>
        <w:lang w:val="en-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DD7"/>
    <w:pPr>
      <w:spacing w:after="160" w:line="259" w:lineRule="auto"/>
    </w:pPr>
    <w:rPr>
      <w:rFonts w:cstheme="minorHAnsi"/>
      <w:kern w:val="2"/>
      <w:szCs w:val="22"/>
      <w:lang w:val="hu-HU"/>
      <w14:ligatures w14:val="standardContextual"/>
    </w:rPr>
  </w:style>
  <w:style w:type="paragraph" w:styleId="Heading1">
    <w:name w:val="heading 1"/>
    <w:basedOn w:val="Normal"/>
    <w:next w:val="Normal"/>
    <w:link w:val="Heading1Char"/>
    <w:uiPriority w:val="9"/>
    <w:qFormat/>
    <w:rsid w:val="00206D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6D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6DD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6DD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06DD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06DD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06DD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06DD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06DD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D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6D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6DD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6DD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06DD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06D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6D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6D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6D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6D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DD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DD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06DD7"/>
    <w:pPr>
      <w:spacing w:before="160"/>
      <w:jc w:val="center"/>
    </w:pPr>
    <w:rPr>
      <w:i/>
      <w:iCs/>
      <w:color w:val="404040" w:themeColor="text1" w:themeTint="BF"/>
    </w:rPr>
  </w:style>
  <w:style w:type="character" w:customStyle="1" w:styleId="QuoteChar">
    <w:name w:val="Quote Char"/>
    <w:basedOn w:val="DefaultParagraphFont"/>
    <w:link w:val="Quote"/>
    <w:uiPriority w:val="29"/>
    <w:rsid w:val="00206DD7"/>
    <w:rPr>
      <w:i/>
      <w:iCs/>
      <w:color w:val="404040" w:themeColor="text1" w:themeTint="BF"/>
    </w:rPr>
  </w:style>
  <w:style w:type="paragraph" w:styleId="ListParagraph">
    <w:name w:val="List Paragraph"/>
    <w:basedOn w:val="Normal"/>
    <w:uiPriority w:val="34"/>
    <w:qFormat/>
    <w:rsid w:val="00206DD7"/>
    <w:pPr>
      <w:ind w:left="720"/>
      <w:contextualSpacing/>
    </w:pPr>
  </w:style>
  <w:style w:type="character" w:styleId="IntenseEmphasis">
    <w:name w:val="Intense Emphasis"/>
    <w:basedOn w:val="DefaultParagraphFont"/>
    <w:uiPriority w:val="21"/>
    <w:qFormat/>
    <w:rsid w:val="00206DD7"/>
    <w:rPr>
      <w:i/>
      <w:iCs/>
      <w:color w:val="2F5496" w:themeColor="accent1" w:themeShade="BF"/>
    </w:rPr>
  </w:style>
  <w:style w:type="paragraph" w:styleId="IntenseQuote">
    <w:name w:val="Intense Quote"/>
    <w:basedOn w:val="Normal"/>
    <w:next w:val="Normal"/>
    <w:link w:val="IntenseQuoteChar"/>
    <w:uiPriority w:val="30"/>
    <w:qFormat/>
    <w:rsid w:val="00206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6DD7"/>
    <w:rPr>
      <w:i/>
      <w:iCs/>
      <w:color w:val="2F5496" w:themeColor="accent1" w:themeShade="BF"/>
    </w:rPr>
  </w:style>
  <w:style w:type="character" w:styleId="IntenseReference">
    <w:name w:val="Intense Reference"/>
    <w:basedOn w:val="DefaultParagraphFont"/>
    <w:uiPriority w:val="32"/>
    <w:qFormat/>
    <w:rsid w:val="00206DD7"/>
    <w:rPr>
      <w:b/>
      <w:bCs/>
      <w:smallCaps/>
      <w:color w:val="2F5496" w:themeColor="accent1" w:themeShade="BF"/>
      <w:spacing w:val="5"/>
    </w:rPr>
  </w:style>
  <w:style w:type="paragraph" w:styleId="NoSpacing">
    <w:name w:val="No Spacing"/>
    <w:uiPriority w:val="1"/>
    <w:qFormat/>
    <w:rsid w:val="00206DD7"/>
    <w:rPr>
      <w:rFonts w:cstheme="minorHAnsi"/>
      <w:kern w:val="2"/>
      <w:szCs w:val="22"/>
      <w:lang w:val="hu-HU"/>
      <w14:ligatures w14:val="standardContextual"/>
    </w:rPr>
  </w:style>
  <w:style w:type="character" w:styleId="Hyperlink">
    <w:name w:val="Hyperlink"/>
    <w:basedOn w:val="DefaultParagraphFont"/>
    <w:uiPriority w:val="99"/>
    <w:unhideWhenUsed/>
    <w:rsid w:val="00206DD7"/>
    <w:rPr>
      <w:color w:val="0563C1" w:themeColor="hyperlink"/>
      <w:u w:val="single"/>
    </w:rPr>
  </w:style>
  <w:style w:type="paragraph" w:styleId="Header">
    <w:name w:val="header"/>
    <w:basedOn w:val="Normal"/>
    <w:link w:val="HeaderChar"/>
    <w:uiPriority w:val="99"/>
    <w:unhideWhenUsed/>
    <w:rsid w:val="00206DD7"/>
    <w:pPr>
      <w:tabs>
        <w:tab w:val="center" w:pos="4536"/>
        <w:tab w:val="right" w:pos="9072"/>
      </w:tabs>
      <w:spacing w:after="0" w:line="240" w:lineRule="auto"/>
    </w:pPr>
  </w:style>
  <w:style w:type="character" w:customStyle="1" w:styleId="HeaderChar">
    <w:name w:val="Header Char"/>
    <w:basedOn w:val="DefaultParagraphFont"/>
    <w:link w:val="Header"/>
    <w:uiPriority w:val="99"/>
    <w:rsid w:val="00206DD7"/>
    <w:rPr>
      <w:rFonts w:cstheme="minorHAnsi"/>
      <w:kern w:val="2"/>
      <w:szCs w:val="22"/>
      <w:lang w:val="hu-HU"/>
      <w14:ligatures w14:val="standardContextual"/>
    </w:rPr>
  </w:style>
  <w:style w:type="paragraph" w:styleId="Footer">
    <w:name w:val="footer"/>
    <w:basedOn w:val="Normal"/>
    <w:link w:val="FooterChar"/>
    <w:uiPriority w:val="99"/>
    <w:unhideWhenUsed/>
    <w:rsid w:val="002875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597"/>
    <w:rPr>
      <w:rFonts w:cstheme="minorHAnsi"/>
      <w:kern w:val="2"/>
      <w:szCs w:val="22"/>
      <w:lang w:val="hu-HU"/>
      <w14:ligatures w14:val="standardContextual"/>
    </w:rPr>
  </w:style>
  <w:style w:type="character" w:styleId="PageNumber">
    <w:name w:val="page number"/>
    <w:basedOn w:val="DefaultParagraphFont"/>
    <w:uiPriority w:val="99"/>
    <w:semiHidden/>
    <w:unhideWhenUsed/>
    <w:rsid w:val="00287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zavilag.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zpontinyomozo.fou@mku.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1419</Words>
  <Characters>9755</Characters>
  <Application>Microsoft Office Word</Application>
  <DocSecurity>0</DocSecurity>
  <Lines>203</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11109</CharactersWithSpaces>
  <SharedDoc>false</SharedDoc>
  <HyperlinkBase/>
  <HLinks>
    <vt:vector size="12" baseType="variant">
      <vt:variant>
        <vt:i4>3342447</vt:i4>
      </vt:variant>
      <vt:variant>
        <vt:i4>3</vt:i4>
      </vt:variant>
      <vt:variant>
        <vt:i4>0</vt:i4>
      </vt:variant>
      <vt:variant>
        <vt:i4>5</vt:i4>
      </vt:variant>
      <vt:variant>
        <vt:lpwstr>https://tiszavilag.co/</vt:lpwstr>
      </vt:variant>
      <vt:variant>
        <vt:lpwstr/>
      </vt:variant>
      <vt:variant>
        <vt:i4>655480</vt:i4>
      </vt:variant>
      <vt:variant>
        <vt:i4>0</vt:i4>
      </vt:variant>
      <vt:variant>
        <vt:i4>0</vt:i4>
      </vt:variant>
      <vt:variant>
        <vt:i4>5</vt:i4>
      </vt:variant>
      <vt:variant>
        <vt:lpwstr>mailto:kozpontinyomozo.fou@mku.hu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Helsinki </dc:creator>
  <cp:keywords/>
  <dc:description/>
  <cp:lastModifiedBy>Pardavi Márta</cp:lastModifiedBy>
  <cp:revision>3</cp:revision>
  <dcterms:created xsi:type="dcterms:W3CDTF">2025-11-08T09:48:00Z</dcterms:created>
  <dcterms:modified xsi:type="dcterms:W3CDTF">2025-11-08T09:49:00Z</dcterms:modified>
  <cp:category/>
</cp:coreProperties>
</file>