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Dr. Kozma Ákos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alapvető jogok biztosa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Alapvető Jogok Biztosának Hivatala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1387 Budapest Pf. 40.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Tisztelt Alapvető Jogok Biztosa Úr!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Alulírott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név: …………………………………………………………………................................................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született:..........................................................., ......................................................................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anyja neve: 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tartózkodási helye (bv. intézet): …………………………………………………………………....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fogvatartott az alapvető jogok biztosáról szóló 2011. évi CXI. törvény (Ajbt.) 18. § (1) bekezdés f) pontja szerinti rendvédelmi szerv, a …………………………………………………………………………………..………….. bv. intézet eljárásával összefüggésben szeretném a vizsgálatát, intézkedését kérni, figyelemmel arra, hogy a bv. intézet eljárása nyomán a magán- és családi élethez való jogom és az emberi méltósághoz való jogból levezethető kegyeleti jogom sérült, az alábbiak miatt.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I.Tényállás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II. Jogi értékelés</w:t>
      </w:r>
    </w:p>
    <w:p w:rsidR="00000000" w:rsidDel="00000000" w:rsidP="00000000" w:rsidRDefault="00000000" w:rsidRPr="00000000" w14:paraId="0000001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II.1. A hazai szabályozás</w:t>
      </w:r>
    </w:p>
    <w:p w:rsidR="00000000" w:rsidDel="00000000" w:rsidP="00000000" w:rsidRDefault="00000000" w:rsidRPr="00000000" w14:paraId="0000001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  <w:i w:val="1"/>
        </w:rPr>
      </w:pPr>
      <w:r w:rsidDel="00000000" w:rsidR="00000000" w:rsidRPr="00000000">
        <w:rPr>
          <w:rtl w:val="0"/>
        </w:rPr>
        <w:t xml:space="preserve">Magyarország Alaptörvényének II. cikke szerint: </w:t>
      </w:r>
      <w:r w:rsidDel="00000000" w:rsidR="00000000" w:rsidRPr="00000000">
        <w:rPr>
          <w:b w:val="1"/>
          <w:i w:val="1"/>
          <w:rtl w:val="0"/>
        </w:rPr>
        <w:t xml:space="preserve">„Az emberi méltóság sérthetetlen. Minden embernek joga van </w:t>
      </w:r>
      <w:r w:rsidDel="00000000" w:rsidR="00000000" w:rsidRPr="00000000">
        <w:rPr>
          <w:i w:val="1"/>
          <w:rtl w:val="0"/>
        </w:rPr>
        <w:t xml:space="preserve">az élethez és </w:t>
      </w:r>
      <w:r w:rsidDel="00000000" w:rsidR="00000000" w:rsidRPr="00000000">
        <w:rPr>
          <w:b w:val="1"/>
          <w:i w:val="1"/>
          <w:rtl w:val="0"/>
        </w:rPr>
        <w:t xml:space="preserve">az emberi méltósághoz </w:t>
      </w:r>
      <w:r w:rsidDel="00000000" w:rsidR="00000000" w:rsidRPr="00000000">
        <w:rPr>
          <w:rtl w:val="0"/>
        </w:rPr>
        <w:t xml:space="preserve">[...].” A VI. cikk (1) bekezdése szerint: </w:t>
      </w:r>
      <w:r w:rsidDel="00000000" w:rsidR="00000000" w:rsidRPr="00000000">
        <w:rPr>
          <w:b w:val="1"/>
          <w:i w:val="1"/>
          <w:rtl w:val="0"/>
        </w:rPr>
        <w:t xml:space="preserve">„Mindenkinek joga van ahhoz, hogy magán- és családi életét, </w:t>
      </w:r>
      <w:r w:rsidDel="00000000" w:rsidR="00000000" w:rsidRPr="00000000">
        <w:rPr>
          <w:i w:val="1"/>
          <w:rtl w:val="0"/>
        </w:rPr>
        <w:t xml:space="preserve">otthonát,</w:t>
      </w:r>
      <w:r w:rsidDel="00000000" w:rsidR="00000000" w:rsidRPr="00000000">
        <w:rPr>
          <w:b w:val="1"/>
          <w:i w:val="1"/>
          <w:rtl w:val="0"/>
        </w:rPr>
        <w:t xml:space="preserve"> kapcsolattartását </w:t>
      </w:r>
      <w:r w:rsidDel="00000000" w:rsidR="00000000" w:rsidRPr="00000000">
        <w:rPr>
          <w:i w:val="1"/>
          <w:rtl w:val="0"/>
        </w:rPr>
        <w:t xml:space="preserve">és jó hírnevét </w:t>
      </w:r>
      <w:r w:rsidDel="00000000" w:rsidR="00000000" w:rsidRPr="00000000">
        <w:rPr>
          <w:b w:val="1"/>
          <w:i w:val="1"/>
          <w:rtl w:val="0"/>
        </w:rPr>
        <w:t xml:space="preserve">tiszteletben tartsák.”</w:t>
      </w:r>
    </w:p>
    <w:p w:rsidR="00000000" w:rsidDel="00000000" w:rsidP="00000000" w:rsidRDefault="00000000" w:rsidRPr="00000000" w14:paraId="00000016">
      <w:pPr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A haláleset és az azt követő események szorosan érintik a hozzátartozók magán- és családi életét, hiszen a vesztesség és annak feldolgozása egyrészt az egyén intim szférájába tartozó lelki történés, másrészt az elhunyt egész családját érintő esemény.</w:t>
      </w:r>
    </w:p>
    <w:p w:rsidR="00000000" w:rsidDel="00000000" w:rsidP="00000000" w:rsidRDefault="00000000" w:rsidRPr="00000000" w14:paraId="0000001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Az Alkotmánybíróság értelmezése szerint a magánszférához való jog különösen szoros kapcsolatban áll az emberi méltósághoz való joggal [32/2013. (XI. 22.) AB határozat]. </w:t>
      </w:r>
      <w:r w:rsidDel="00000000" w:rsidR="00000000" w:rsidRPr="00000000">
        <w:rPr>
          <w:i w:val="1"/>
          <w:rtl w:val="0"/>
        </w:rPr>
        <w:t xml:space="preserve">Emberi méltósága [...] mindenkinek érinthetetlen, aki ember, függetlenül fizikai és szellemi fejlettségétől, illetve állapotától, és attól is, hogy emberi lehetőségéből mennyit valósított meg, és miért annyit </w:t>
      </w:r>
      <w:r w:rsidDel="00000000" w:rsidR="00000000" w:rsidRPr="00000000">
        <w:rPr>
          <w:rtl w:val="0"/>
        </w:rPr>
        <w:t xml:space="preserve">[64/1991. (XII.17.) AB határozat].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Ahogy az alapvető jogok biztosa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AJB-2741/2015. ügyszámú jelentésében</w:t>
        </w:r>
      </w:hyperlink>
      <w:r w:rsidDel="00000000" w:rsidR="00000000" w:rsidRPr="00000000">
        <w:rPr>
          <w:rtl w:val="0"/>
        </w:rPr>
        <w:t xml:space="preserve"> is rögzítette, az emberi méltósághoz való jogból fakad a hozzátartozók kegyeleti joga is, és a halálesetet követően eljáró szerveknek azon kötelessége, hogy eljárásaik során ezt tiszteletben tartsák.</w:t>
      </w:r>
    </w:p>
    <w:p w:rsidR="00000000" w:rsidDel="00000000" w:rsidP="00000000" w:rsidRDefault="00000000" w:rsidRPr="00000000" w14:paraId="0000001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A kegyeleti jog az elhunyt örököseinek önálló személyiségi joga, amely magában foglalja azt a jogot is, hogy az elhunyt személyről megemlékezzenek. A </w:t>
      </w:r>
      <w:r w:rsidDel="00000000" w:rsidR="00000000" w:rsidRPr="00000000">
        <w:rPr>
          <w:i w:val="1"/>
          <w:rtl w:val="0"/>
        </w:rPr>
        <w:t xml:space="preserve">kegyeleti jog tágabb értelemben mindenkit megillet, akinek emlékében az elhunyt él</w:t>
      </w:r>
      <w:r w:rsidDel="00000000" w:rsidR="00000000" w:rsidRPr="00000000">
        <w:rPr>
          <w:rtl w:val="0"/>
        </w:rPr>
        <w:t xml:space="preserve"> (OBH 2672/2002).</w:t>
      </w:r>
    </w:p>
    <w:p w:rsidR="00000000" w:rsidDel="00000000" w:rsidP="00000000" w:rsidRDefault="00000000" w:rsidRPr="00000000" w14:paraId="0000001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A büntetések, az intézkedések, egyes kényszerintézkedések és a szabálysértési elzárás végrehajtásáról szóló 2013. évi CCXL. törvény (Bv. tv.) a szabadságvesztés büntetés végrehajtásának céljaként nevezi meg a reintegrációt. A reintegráció fontos feltétele, hogy a fogvatartott fenntarthassa családi, személyes kapcsolatait, ezért a törvény a bv. szervezet kötelezettségeként határozza meg ennek elősegítését.</w:t>
      </w:r>
    </w:p>
    <w:p w:rsidR="00000000" w:rsidDel="00000000" w:rsidP="00000000" w:rsidRDefault="00000000" w:rsidRPr="00000000" w14:paraId="0000002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b w:val="1"/>
          <w:i w:val="1"/>
        </w:rPr>
      </w:pPr>
      <w:r w:rsidDel="00000000" w:rsidR="00000000" w:rsidRPr="00000000">
        <w:rPr>
          <w:i w:val="1"/>
          <w:rtl w:val="0"/>
        </w:rPr>
        <w:t xml:space="preserve">83. § (1) A szabadságvesztés végrehajtásának célja [...] a végrehajtás alatti </w:t>
      </w:r>
      <w:r w:rsidDel="00000000" w:rsidR="00000000" w:rsidRPr="00000000">
        <w:rPr>
          <w:b w:val="1"/>
          <w:i w:val="1"/>
          <w:rtl w:val="0"/>
        </w:rPr>
        <w:t xml:space="preserve">reintegrációs tevékenység eredményeként annak elősegítése, hogy az elítélt szabadulása után a társadalomba sikeresen visszailleszkedjen és a társadalom jogkövető tagjává váljon.</w:t>
      </w:r>
    </w:p>
    <w:p w:rsidR="00000000" w:rsidDel="00000000" w:rsidP="00000000" w:rsidRDefault="00000000" w:rsidRPr="00000000" w14:paraId="00000022">
      <w:pPr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b w:val="1"/>
          <w:i w:val="1"/>
        </w:rPr>
      </w:pPr>
      <w:r w:rsidDel="00000000" w:rsidR="00000000" w:rsidRPr="00000000">
        <w:rPr>
          <w:i w:val="1"/>
          <w:rtl w:val="0"/>
        </w:rPr>
        <w:t xml:space="preserve">(6) A szabadságvesztés végrehajtása során az elítéltet csak a büntetés céljának eléréséhez szükséges mértékben lehet elkülöníteni a társadalom tagjaitól. </w:t>
      </w:r>
      <w:r w:rsidDel="00000000" w:rsidR="00000000" w:rsidRPr="00000000">
        <w:rPr>
          <w:b w:val="1"/>
          <w:i w:val="1"/>
          <w:rtl w:val="0"/>
        </w:rPr>
        <w:t xml:space="preserve">Az elítélt számára biztosítani kell a büntetés céljával, valamint az intézet rendjével és biztonságával nem ellentétes családi, személyes és társadalmi kapcsolatok létesítését, fenntartását, illetve fejlesztését.</w:t>
      </w:r>
    </w:p>
    <w:p w:rsidR="00000000" w:rsidDel="00000000" w:rsidP="00000000" w:rsidRDefault="00000000" w:rsidRPr="00000000" w14:paraId="00000024">
      <w:pPr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i w:val="1"/>
        </w:rPr>
      </w:pPr>
      <w:r w:rsidDel="00000000" w:rsidR="00000000" w:rsidRPr="00000000">
        <w:rPr>
          <w:rtl w:val="0"/>
        </w:rPr>
        <w:t xml:space="preserve">A Bv.tv. a fogvatartottak kegyeleti jogának gyakorlásáról a 119. § d) pontja rendelkezik: </w:t>
      </w:r>
      <w:r w:rsidDel="00000000" w:rsidR="00000000" w:rsidRPr="00000000">
        <w:rPr>
          <w:i w:val="1"/>
          <w:rtl w:val="0"/>
        </w:rPr>
        <w:t xml:space="preserve">A szabadságvesztés végrehajtása alatt az elítélt </w:t>
      </w:r>
      <w:r w:rsidDel="00000000" w:rsidR="00000000" w:rsidRPr="00000000">
        <w:rPr>
          <w:b w:val="1"/>
          <w:i w:val="1"/>
          <w:rtl w:val="0"/>
        </w:rPr>
        <w:t xml:space="preserve">kegyeleti joga </w:t>
      </w:r>
      <w:r w:rsidDel="00000000" w:rsidR="00000000" w:rsidRPr="00000000">
        <w:rPr>
          <w:i w:val="1"/>
          <w:rtl w:val="0"/>
        </w:rPr>
        <w:t xml:space="preserve">e törvényben meghatározott korlátozásoknak megfelelően gyakorolható.</w:t>
      </w:r>
    </w:p>
    <w:p w:rsidR="00000000" w:rsidDel="00000000" w:rsidP="00000000" w:rsidRDefault="00000000" w:rsidRPr="00000000" w14:paraId="0000002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  <w:t xml:space="preserve">A Bv.tv. a fogvatartottak számára lehetővé teszi a hozzátartozójuk temetésén való részvételt és meghatározza a kegyelet lerovásának feltételeit:</w:t>
      </w:r>
    </w:p>
    <w:p w:rsidR="00000000" w:rsidDel="00000000" w:rsidP="00000000" w:rsidRDefault="00000000" w:rsidRPr="00000000" w14:paraId="00000028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123. § (1) Az elítélt a bv. intézet parancsnokának engedélye alapján – őrzéssel vagy anélkül – [...] részt vehet közeli hozzátartozója temetésén.</w:t>
      </w:r>
    </w:p>
    <w:p w:rsidR="00000000" w:rsidDel="00000000" w:rsidP="00000000" w:rsidRDefault="00000000" w:rsidRPr="00000000" w14:paraId="00000029">
      <w:pPr>
        <w:jc w:val="both"/>
        <w:rPr>
          <w:b w:val="1"/>
          <w:i w:val="1"/>
        </w:rPr>
      </w:pPr>
      <w:r w:rsidDel="00000000" w:rsidR="00000000" w:rsidRPr="00000000">
        <w:rPr>
          <w:i w:val="1"/>
          <w:rtl w:val="0"/>
        </w:rPr>
        <w:t xml:space="preserve">(2) A bv. intézet parancsnoka az (1) bekezdésben foglaltak engedélyezése esetén elrendelhető mozgáskorlátozó eszközök használatát,</w:t>
      </w:r>
      <w:r w:rsidDel="00000000" w:rsidR="00000000" w:rsidRPr="00000000">
        <w:rPr>
          <w:b w:val="1"/>
          <w:i w:val="1"/>
          <w:rtl w:val="0"/>
        </w:rPr>
        <w:t xml:space="preserve"> kivételes esetben megtagadhatja </w:t>
      </w:r>
      <w:r w:rsidDel="00000000" w:rsidR="00000000" w:rsidRPr="00000000">
        <w:rPr>
          <w:i w:val="1"/>
          <w:rtl w:val="0"/>
        </w:rPr>
        <w:t xml:space="preserve">[...], </w:t>
      </w:r>
      <w:r w:rsidDel="00000000" w:rsidR="00000000" w:rsidRPr="00000000">
        <w:rPr>
          <w:b w:val="1"/>
          <w:i w:val="1"/>
          <w:rtl w:val="0"/>
        </w:rPr>
        <w:t xml:space="preserve">a temetésen való részvétel</w:t>
      </w:r>
      <w:r w:rsidDel="00000000" w:rsidR="00000000" w:rsidRPr="00000000">
        <w:rPr>
          <w:i w:val="1"/>
          <w:rtl w:val="0"/>
        </w:rPr>
        <w:t xml:space="preserve">, illetve a kegyelet lerovásának </w:t>
      </w:r>
      <w:r w:rsidDel="00000000" w:rsidR="00000000" w:rsidRPr="00000000">
        <w:rPr>
          <w:b w:val="1"/>
          <w:i w:val="1"/>
          <w:rtl w:val="0"/>
        </w:rPr>
        <w:t xml:space="preserve">engedélyezését.</w:t>
      </w:r>
    </w:p>
    <w:p w:rsidR="00000000" w:rsidDel="00000000" w:rsidP="00000000" w:rsidRDefault="00000000" w:rsidRPr="00000000" w14:paraId="0000002A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(4) Ha az elítélt a temetésen nem vett részt, a parancsnok a temetést követő harminc naponbelül – az (1) bekezdés szerinti feltételekkel – engedélyezheti, hogy az elítélt lerója kegyeletét a közeli hozzátartozója temetési helyénél.</w:t>
      </w:r>
    </w:p>
    <w:p w:rsidR="00000000" w:rsidDel="00000000" w:rsidP="00000000" w:rsidRDefault="00000000" w:rsidRPr="00000000" w14:paraId="0000002B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(5) Az elítélt az (1) és (4) bekezdésben felsorolt esetekben az előállítás költségét köteles megtéríteni.</w:t>
      </w:r>
    </w:p>
    <w:p w:rsidR="00000000" w:rsidDel="00000000" w:rsidP="00000000" w:rsidRDefault="00000000" w:rsidRPr="00000000" w14:paraId="0000002C">
      <w:pPr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b w:val="1"/>
          <w:rtl w:val="0"/>
        </w:rPr>
        <w:t xml:space="preserve">Közeli hozzátartozónak </w:t>
      </w:r>
      <w:r w:rsidDel="00000000" w:rsidR="00000000" w:rsidRPr="00000000">
        <w:rPr>
          <w:rtl w:val="0"/>
        </w:rPr>
        <w:t xml:space="preserve">a Bv.tv. 82. § 4. pontja alapján a Polgári Törvénykönyvről szóló 2013. évi V. törvény (Ptk.) szerinti közeli hozzátartozó és az élettárs minősül. A Ptk. 8:1. § 1. pontja szerinti közeli hozzátartozó: a házastárs, az egyeneságbeli rokon, az örökbefogadott, a mostoha- és a nevelt gyermek, az örökbefogadó-, a mostoha- és a nevelőszülő és a testvér.</w:t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A temetésen való részvételre és a kegyelet utólagos lerovására vonatkozó kérelem elbírálására - speciális jogszabályi rendelkezés hiányában - a Bv.tv. 20. § (3) bekezdése irányadó, miszerint a kérelem benyújtásától számított harminc napon belül</w:t>
      </w:r>
      <w:r w:rsidDel="00000000" w:rsidR="00000000" w:rsidRPr="00000000">
        <w:rPr>
          <w:b w:val="1"/>
          <w:rtl w:val="0"/>
        </w:rPr>
        <w:t xml:space="preserve"> kell dönteni, kivéve, ha az ügy jellege soron kívüli elintézést kíván.</w:t>
      </w:r>
    </w:p>
    <w:p w:rsidR="00000000" w:rsidDel="00000000" w:rsidP="00000000" w:rsidRDefault="00000000" w:rsidRPr="00000000" w14:paraId="0000003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II.1. A nemzetközi jogalkalmazás</w:t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  <w:t xml:space="preserve">Az 1993. évi XXXI. törvény által kihirdetett Emberi Jogok Európai Egyezménye (EJEE) a magyar jog részét képezi, amelynek értelmezése során nem lehet eltekinteni az </w:t>
      </w:r>
      <w:r w:rsidDel="00000000" w:rsidR="00000000" w:rsidRPr="00000000">
        <w:rPr>
          <w:b w:val="1"/>
          <w:rtl w:val="0"/>
        </w:rPr>
        <w:t xml:space="preserve">Emberi Jogok Európai Bíróságának</w:t>
      </w:r>
      <w:r w:rsidDel="00000000" w:rsidR="00000000" w:rsidRPr="00000000">
        <w:rPr>
          <w:rtl w:val="0"/>
        </w:rPr>
        <w:t xml:space="preserve"> (EJEB) esetjogától.</w:t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  <w:t xml:space="preserve">Az EJEB töretlen, Magyarországgal szembeni ügyekben hozott ítéletekkel is megerősített jogértelmezése szerint a fogvatartottak súlyos beteg családtagjainak meglátogatása, a haldoklótól való búcsúzás, a temetésén való részvétel és a kegyelet lerovása az EJEE 8. cikkének hatálya alá tartozik.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  <w:t xml:space="preserve">Az EJEE 8. cikke a magán- és családi élet tiszteletben tartásához való jogról az alábbiak szerint rendelkezik: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jc w:val="both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Mindenkinek joga van arra, hogy magán- és családi életét, lakását és levelezését tiszteletben tartsák.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E jog gyakorlásába hatóság </w:t>
      </w:r>
      <w:r w:rsidDel="00000000" w:rsidR="00000000" w:rsidRPr="00000000">
        <w:rPr>
          <w:b w:val="1"/>
          <w:i w:val="1"/>
          <w:rtl w:val="0"/>
        </w:rPr>
        <w:t xml:space="preserve">csak a törvényben meghatározott, olyan esetekben avatkozhat be, amikor az egy demokratikus társadalomban a nemzetbiztonság, közbiztonság vagy az ország gazdasági jóléte érdekében, zavargás vagy bűncselekmény megelőzése, a közegészség vagy az erkölcsök védelme, avagy mások jogainak és szabadságainak védelme érdekében szükséges.</w:t>
      </w:r>
    </w:p>
    <w:p w:rsidR="00000000" w:rsidDel="00000000" w:rsidP="00000000" w:rsidRDefault="00000000" w:rsidRPr="00000000" w14:paraId="0000003B">
      <w:pPr>
        <w:ind w:left="720" w:firstLine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  <w:t xml:space="preserve">A családi élethez való jog az alapvető emberi kapcsolatokat védi, többek között a családtagok együttélését és kapcsolattartását. Az EJEB joggyakorlata szerint a fogvatartottak temetésen való részvétele is a védelem körébe tartozik. A kegyeleti jog mind a családi élethez, mind a magánélethez való jogra tekintettel védelmet élvez.</w:t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  <w:t xml:space="preserve">A magánélethez való jogba beletartozik a személy testi és pszichés sérthetetlensége, a személyes fejlődéshez való jog, a más emberekkel és a külvilággal való kapcsolatok kialakításának és fejlesztésének joga. A személyes, társadalmi és gazdasági kapcsolatok összessége tehát a magánélet részét képezi.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  <w:t xml:space="preserve"> Emellett a magánélethez való jog magában foglalja az önazonossághoz, az önazonosság kifejezéséhez való jogot is. A haldoklóval való találkozás, az elhunyttól való elbúcsúzás és az elhunyt sírhelyének meglátogatása, mint a kegyelet lerovásának módja a morális önazonosság kifejezéséhez is kapcsolódik</w:t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  <w:t xml:space="preserve">Az EJEB több ítéletében is megerősítette: a fogvatartás ugyan szükségszerű korlátozásokkal jár az adott személy magán- és családi élet tiszteletben tartásához való jogára nézve, mégis, a családi élet tiszteletben tartásához való jog alapvető részét képezi az, hogy </w:t>
      </w:r>
      <w:r w:rsidDel="00000000" w:rsidR="00000000" w:rsidRPr="00000000">
        <w:rPr>
          <w:b w:val="1"/>
          <w:rtl w:val="0"/>
        </w:rPr>
        <w:t xml:space="preserve">a hatóságok lehetővé tegyék, szükség esetén elősegítsék a fogva tartott közeli családtagokkal történő kapcsolattartását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  <w:t xml:space="preserve"> Sőt még a súlyos bűncselekmények miatt elítélt emberek esetében is támogatandó és a társadalmi reintegrációt szolgálja az ideiglenes „kimenők” engedélyezése.</w:t>
      </w:r>
      <w:r w:rsidDel="00000000" w:rsidR="00000000" w:rsidRPr="00000000">
        <w:rPr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  <w:t xml:space="preserve">Az EJEE 8. cikke természetét tekintve </w:t>
      </w:r>
      <w:r w:rsidDel="00000000" w:rsidR="00000000" w:rsidRPr="00000000">
        <w:rPr>
          <w:b w:val="1"/>
          <w:rtl w:val="0"/>
        </w:rPr>
        <w:t xml:space="preserve">nem csak passzív, tartózkodási kötelezettséget</w:t>
      </w:r>
      <w:r w:rsidDel="00000000" w:rsidR="00000000" w:rsidRPr="00000000">
        <w:rPr>
          <w:rtl w:val="0"/>
        </w:rPr>
        <w:t xml:space="preserve"> (a részes állam ne avatkozzon be az állampolgár családi- és magánéletébe), </w:t>
      </w:r>
      <w:r w:rsidDel="00000000" w:rsidR="00000000" w:rsidRPr="00000000">
        <w:rPr>
          <w:b w:val="1"/>
          <w:rtl w:val="0"/>
        </w:rPr>
        <w:t xml:space="preserve">hanem aktív, tevőleges magatartást is elvár</w:t>
      </w:r>
      <w:r w:rsidDel="00000000" w:rsidR="00000000" w:rsidRPr="00000000">
        <w:rPr>
          <w:rtl w:val="0"/>
        </w:rPr>
        <w:t xml:space="preserve">, azaz azt, hogy a részes állam tegyen meg mindent, hogy a családi- és magánélet háborítatlansága biztosítva legyen.</w:t>
      </w:r>
      <w:r w:rsidDel="00000000" w:rsidR="00000000" w:rsidRPr="00000000">
        <w:rPr>
          <w:vertAlign w:val="superscript"/>
        </w:rPr>
        <w:footnoteReference w:customMarkFollows="0" w:id="4"/>
      </w:r>
      <w:r w:rsidDel="00000000" w:rsidR="00000000" w:rsidRPr="00000000">
        <w:rPr>
          <w:rtl w:val="0"/>
        </w:rPr>
        <w:t xml:space="preserve"> A fogvatartottak magán- és családi életébe az állam csak az EJEE 8. cikk (2) bekezdése alapján az EJEB által kimunkált jogszerűségi kritériumoknak megfelelően, az eljárási garanciák és a szükségesség, arányosság követelményét tiszteletben tartva avatkozhat be.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rtl w:val="0"/>
        </w:rPr>
        <w:t xml:space="preserve">Az EJEB jogértelmezése alapján 8. cikk által védett jogba való beavatkozás csak akkor minősül jogszerűnek, ha a beavatkozás </w:t>
      </w:r>
      <w:r w:rsidDel="00000000" w:rsidR="00000000" w:rsidRPr="00000000">
        <w:rPr>
          <w:b w:val="1"/>
          <w:i w:val="1"/>
          <w:rtl w:val="0"/>
        </w:rPr>
        <w:t xml:space="preserve">(i) </w:t>
      </w:r>
      <w:r w:rsidDel="00000000" w:rsidR="00000000" w:rsidRPr="00000000">
        <w:rPr>
          <w:i w:val="1"/>
          <w:rtl w:val="0"/>
        </w:rPr>
        <w:t xml:space="preserve">„a törvényben meghatározott esetben” történik, azaz a korlátozás törvényen alapul, </w:t>
      </w:r>
      <w:r w:rsidDel="00000000" w:rsidR="00000000" w:rsidRPr="00000000">
        <w:rPr>
          <w:b w:val="1"/>
          <w:i w:val="1"/>
          <w:rtl w:val="0"/>
        </w:rPr>
        <w:t xml:space="preserve">(ii) </w:t>
      </w:r>
      <w:r w:rsidDel="00000000" w:rsidR="00000000" w:rsidRPr="00000000">
        <w:rPr>
          <w:i w:val="1"/>
          <w:rtl w:val="0"/>
        </w:rPr>
        <w:t xml:space="preserve">a beavatkozás a 8. cikk (2) bekezdésben taxatíve felsorolt valamely „legitim cél érdekében” történik és </w:t>
      </w:r>
      <w:r w:rsidDel="00000000" w:rsidR="00000000" w:rsidRPr="00000000">
        <w:rPr>
          <w:b w:val="1"/>
          <w:i w:val="1"/>
          <w:rtl w:val="0"/>
        </w:rPr>
        <w:t xml:space="preserve">(iii)</w:t>
      </w:r>
      <w:r w:rsidDel="00000000" w:rsidR="00000000" w:rsidRPr="00000000">
        <w:rPr>
          <w:i w:val="1"/>
          <w:rtl w:val="0"/>
        </w:rPr>
        <w:t xml:space="preserve"> a korlátozás </w:t>
      </w:r>
      <w:r w:rsidDel="00000000" w:rsidR="00000000" w:rsidRPr="00000000">
        <w:rPr>
          <w:b w:val="1"/>
          <w:i w:val="1"/>
          <w:rtl w:val="0"/>
        </w:rPr>
        <w:t xml:space="preserve">„szükséges egy demokratikus társadalomban</w:t>
      </w:r>
      <w:r w:rsidDel="00000000" w:rsidR="00000000" w:rsidRPr="00000000">
        <w:rPr>
          <w:i w:val="1"/>
          <w:rtl w:val="0"/>
        </w:rPr>
        <w:t xml:space="preserve">”</w:t>
      </w:r>
      <w:r w:rsidDel="00000000" w:rsidR="00000000" w:rsidRPr="00000000">
        <w:rPr>
          <w:rtl w:val="0"/>
        </w:rPr>
        <w:t xml:space="preserve">. A 8. cikk (2) bekezdése szerinti „legitim célok” közül fogvatartottak esetében tipikusan a közbiztonság (esetleg a nemzetbiztonság) védelme és a bűncselekmény megelőzése, valamint közegészség védelme merülhet fel.</w:t>
      </w:r>
    </w:p>
    <w:p w:rsidR="00000000" w:rsidDel="00000000" w:rsidP="00000000" w:rsidRDefault="00000000" w:rsidRPr="00000000" w14:paraId="0000004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III. Összegzés</w:t>
      </w:r>
    </w:p>
    <w:p w:rsidR="00000000" w:rsidDel="00000000" w:rsidP="00000000" w:rsidRDefault="00000000" w:rsidRPr="00000000" w14:paraId="0000004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  <w:t xml:space="preserve">Álláspontom szerint a bv. szervezet nem biztosította részemre az Alaptörvényben és az EJEE-ben biztosított jogaimat. </w:t>
      </w:r>
    </w:p>
    <w:p w:rsidR="00000000" w:rsidDel="00000000" w:rsidP="00000000" w:rsidRDefault="00000000" w:rsidRPr="00000000" w14:paraId="0000004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rtl w:val="0"/>
        </w:rPr>
        <w:t xml:space="preserve">A reintegráció elengedhetetlen feltétele a lelki egészségünk megőrzése. A szerettünk elvesztése miatti megrázkódtatást enyhítheti, ha méltó módon el tudunk búcsúzni az elhunyttól. Erre azonban a tényállásban leírt döntések következtében nekem nem volt lehetőségem. </w:t>
      </w:r>
    </w:p>
    <w:p w:rsidR="00000000" w:rsidDel="00000000" w:rsidP="00000000" w:rsidRDefault="00000000" w:rsidRPr="00000000" w14:paraId="0000004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/>
      </w:pPr>
      <w:r w:rsidDel="00000000" w:rsidR="00000000" w:rsidRPr="00000000">
        <w:rPr>
          <w:rtl w:val="0"/>
        </w:rPr>
        <w:t xml:space="preserve">Az esetemben nem merült fel olyan közérdek, amely veszélybe került volna abban az esetben, ha engedélyezték volna a temetésen való részvételemet.</w:t>
      </w:r>
    </w:p>
    <w:p w:rsidR="00000000" w:rsidDel="00000000" w:rsidP="00000000" w:rsidRDefault="00000000" w:rsidRPr="00000000" w14:paraId="0000004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/>
      </w:pPr>
      <w:r w:rsidDel="00000000" w:rsidR="00000000" w:rsidRPr="00000000">
        <w:rPr>
          <w:rtl w:val="0"/>
        </w:rPr>
        <w:t xml:space="preserve">A fentiek alapján kérem, hogy a panaszomat vizsgálja ki, és állapítsa meg az alapvető jogaimat sértő visszásság fennállását, továbbá tegyen intézkedéseket azok orvoslására és megszüntetésére.</w:t>
      </w:r>
    </w:p>
    <w:p w:rsidR="00000000" w:rsidDel="00000000" w:rsidP="00000000" w:rsidRDefault="00000000" w:rsidRPr="00000000" w14:paraId="0000004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/>
      </w:pPr>
      <w:r w:rsidDel="00000000" w:rsidR="00000000" w:rsidRPr="00000000">
        <w:rPr>
          <w:rtl w:val="0"/>
        </w:rPr>
        <w:t xml:space="preserve">Kérem, hogy az Ajbt. 32. § (1) bekezdése szerint hívja fel a bv. szervezetet a jogsértő gyakorlat megszüntetésére.</w:t>
      </w:r>
    </w:p>
    <w:p w:rsidR="00000000" w:rsidDel="00000000" w:rsidP="00000000" w:rsidRDefault="00000000" w:rsidRPr="00000000" w14:paraId="0000005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/>
      </w:pPr>
      <w:r w:rsidDel="00000000" w:rsidR="00000000" w:rsidRPr="00000000">
        <w:rPr>
          <w:rtl w:val="0"/>
        </w:rPr>
        <w:t xml:space="preserve">Kelt: ……………………………………..</w:t>
      </w:r>
    </w:p>
    <w:p w:rsidR="00000000" w:rsidDel="00000000" w:rsidP="00000000" w:rsidRDefault="00000000" w:rsidRPr="00000000" w14:paraId="0000005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/>
      </w:pPr>
      <w:r w:rsidDel="00000000" w:rsidR="00000000" w:rsidRPr="00000000">
        <w:rPr>
          <w:rtl w:val="0"/>
        </w:rPr>
        <w:t xml:space="preserve">Tisztelettel:</w:t>
      </w:r>
    </w:p>
    <w:p w:rsidR="00000000" w:rsidDel="00000000" w:rsidP="00000000" w:rsidRDefault="00000000" w:rsidRPr="00000000" w14:paraId="0000005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right"/>
        <w:rPr/>
      </w:pPr>
      <w:r w:rsidDel="00000000" w:rsidR="00000000" w:rsidRPr="00000000">
        <w:rPr>
          <w:rtl w:val="0"/>
        </w:rPr>
        <w:t xml:space="preserve">..............................................</w:t>
      </w:r>
    </w:p>
    <w:p w:rsidR="00000000" w:rsidDel="00000000" w:rsidP="00000000" w:rsidRDefault="00000000" w:rsidRPr="00000000" w14:paraId="0000005A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otnote w:id="0">
    <w:p w:rsidR="00000000" w:rsidDel="00000000" w:rsidP="00000000" w:rsidRDefault="00000000" w:rsidRPr="00000000" w14:paraId="0000005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Ld. például: Császy v. Magyarország, 2014. október 21-én kelt ítélet, 14447/11 sz. kérelem, Płoski v. Lengyelország, §§ 26-39, 2002. november 12-én kelt ítélet, 26761/95 sz. kérelem.Schemkamperv v. Franciaország, §§ 19-36, 2005. október 18-én kelt ítélet, 75833/01 sz. kérelem; Lind v.Oroszország, §§ 87-99, 2007. december 6-án kelt ítélet, 25664/05 sz. kérelem; Moiseyev v. Oroszország, 2008. október 9-én kelt ítélet, 62936/00 sz. kérelem.</w:t>
      </w:r>
    </w:p>
  </w:footnote>
  <w:footnote w:id="1">
    <w:p w:rsidR="00000000" w:rsidDel="00000000" w:rsidP="00000000" w:rsidRDefault="00000000" w:rsidRPr="00000000" w14:paraId="0000005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Ld. például: Niemietz v. Németország, § 29, 1992. december 16-án kelt ítélet, 13710/88 sz. kérelem;</w:t>
      </w:r>
    </w:p>
  </w:footnote>
  <w:footnote w:id="2">
    <w:p w:rsidR="00000000" w:rsidDel="00000000" w:rsidP="00000000" w:rsidRDefault="00000000" w:rsidRPr="00000000" w14:paraId="0000005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Ld. például:Moiseyev v. Oroszország, § 246, 2008. október 9-én kelt ítélet, 62936/00 sz. kérelem; István Gábor Kovács v. Magyarország, § 35,2012. január 17-én kelt ítélet, 15707/10. sz. kérelem;Polyakova és mások v. Oroszország, § 81, 2017. március 17-én kelt ítélet, 35090/09 sz. kérelem.</w:t>
      </w:r>
    </w:p>
  </w:footnote>
  <w:footnote w:id="3">
    <w:p w:rsidR="00000000" w:rsidDel="00000000" w:rsidP="00000000" w:rsidRDefault="00000000" w:rsidRPr="00000000" w14:paraId="0000005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Ld. például: Schemkamperv v. Franciaország, § 31, 2005. október 18-én kelt ítélet, 75833/01 sz. kérelem; Mastromatteo v. Italy, § 72, 2002. október 24-én kelt ítélet, 37703/99 sz. kérelem.</w:t>
      </w:r>
    </w:p>
  </w:footnote>
  <w:footnote w:id="4">
    <w:p w:rsidR="00000000" w:rsidDel="00000000" w:rsidP="00000000" w:rsidRDefault="00000000" w:rsidRPr="00000000" w14:paraId="0000005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Id. például: Marckx v. Belgium, § 31, 1979 június 13-án kelt ítélet, 6833/74. sz. kérelem;</w:t>
      </w:r>
    </w:p>
    <w:p w:rsidR="00000000" w:rsidDel="00000000" w:rsidP="00000000" w:rsidRDefault="00000000" w:rsidRPr="00000000" w14:paraId="0000006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X és Y. v. Hollandia, § 23, 1985 március 26-án kelt ítélet, 8978/80 sz. kérelem; Abdulaziz, Cabales és Balkandali  v. Egyesült Királyság, § 67, 1985. május 28-án kelt ítélet, 9474/81. sz kérelem; Hokkanen v. Finnország, § 55, 1994. szeptember 23-án kelt ítélet, 19823/92. sz. kérelem</w:t>
      </w:r>
    </w:p>
    <w:p w:rsidR="00000000" w:rsidDel="00000000" w:rsidP="00000000" w:rsidRDefault="00000000" w:rsidRPr="00000000" w14:paraId="0000006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www.ajbh.hu/documents/10180/1957691/Jelent%C3%A9s+egy+kegyeleti+jogs%C3%A9rt%C3%A9sr%C5%91l+2741_2015.pdf/43838577-01ef-4a37-afa4-a6f8b62edc8e?version=1.0&amp;t=14504421651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