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Bv. intézet megnevezése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KÉRELEM*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/ PANASZ* ELŐTERJESZTÉSE (KAPCSOLATTARTÓI)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Alulírott,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 …..………………………………………………………………………………………...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Születési név: ..……………………………………………………...…………………………..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Kapcsolattartás minősége (apa, anya, férj, gyermek stb.):………………………………………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Elérhetőség (bejelentett lakcím): ……………...………………………………………………...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Elérhetőség (tartózkodási hely): .…………………………………...…………………………...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Bv. intézet megnevezése: 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Fogvatartott (név, szül. hely, idő, anyja neve) adatai: ………………………………………….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alábbi beadványt terjesztem elő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beadvány leírása**:</w:t>
      </w:r>
    </w:p>
    <w:p w:rsidR="00000000" w:rsidDel="00000000" w:rsidP="00000000" w:rsidRDefault="00000000" w:rsidRPr="00000000" w14:paraId="00000013">
      <w:pPr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Parancsnok Úr/Asszony! </w:t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Azzal a kérelemmel fordulok Önhöz, hogy a következő beszélő során házastársamat/élettársamat/gyermekemet/unokámat/édesanyámat/stb. olyan módon láthassam, hogy a látogatás során ne legyen közöttünk térelválasztó elem (plexi, OSB-fal vagy hasonló elem), és egymást megérinthessük, megölelhessük . </w:t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Eddigi látogatásaimra – a bv. intézet általános gyakorlatának megfelelően – olyan módon került sor, hogy köztünk térelválasztóként plexifal volt a beszélő alatt, egymást nem érinthettük meg, a látogatáskor csak a plexin keresztül tudtunk egymással beszélni. A körülmények nem tették lehetővé a kellően tartalmas, a hozzátartozók közötti kapcsolat fenntartásához szükséges mélységű és jellegű beszélgetést, kapcsolatot. Hozzátartozóm emiatt különösen hiányzik nekem, szeretném közelről látni és jól hallani a hangját, ezt a plexi jelentősen nehezíti, akadályozza, továbbá teljesen ellehetetleníti a fizikai érintkezést. Szeretném őt közelről látni és jól hallani a hangját, megölelni őt, ez mindkettőnknek sokat jelentene. 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Tudomásom szerint sem az én, sem a fogvatartott hozzátartozóm magatartásával, személyével összefüggésben nem merült fel olyan biztonsági kockázat, amely a büntetések, az intézkedések, egyes kényszerintézkedések és a szabálysértési elzárás végrehajtásáról szóló 2013. évi CCXL. törvény (a továbbiakban: Bv.tv.) korlátozó rendelkezéseinek, e körben különösen a Bv.tv. 177.§ (3) bekezdésében foglaltaknak az  alkalmazását, azaz a biztonsági fülke, rács alkalmazását szükségessé tennék. </w:t>
      </w:r>
    </w:p>
    <w:p w:rsidR="00000000" w:rsidDel="00000000" w:rsidP="00000000" w:rsidRDefault="00000000" w:rsidRPr="00000000" w14:paraId="00000017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Ezért  kérem, hogy a látogatást olyan módon szíveskedjenek biztosítani, hogy a látogatás során a fogvatartott hozzátartozóm és köztem ne legyen térelválasztó elem, hanem asztal mellett ülve lehessen beszélőnk. </w:t>
      </w:r>
    </w:p>
    <w:p w:rsidR="00000000" w:rsidDel="00000000" w:rsidP="00000000" w:rsidRDefault="00000000" w:rsidRPr="00000000" w14:paraId="00000018">
      <w:pPr>
        <w:spacing w:after="120" w:line="360" w:lineRule="auto"/>
        <w:jc w:val="both"/>
        <w:rPr>
          <w:rFonts w:ascii="Times New Roman" w:cs="Times New Roman" w:eastAsia="Times New Roman" w:hAnsi="Times New Roman"/>
          <w:color w:val="474747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kérelmemet az Alaptörvény VI. cikk (1) bekezdésében foglalt, a magán- és családi élethez, a kapcsolattartáshoz fűződő alapvető jogom érvényesülése érdekében és arra figyelemmel is fogalmazom meg, hogy a Bv.tv. 83.§ (4) bekezdése értelmében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 szabadságvesztés végrehajtása során – a szabadságvesztés végrehajtási fokozatára, a bv. intézet rendjére és biztonságára figyelemmel – törekedni kell arra, hogy az elítélt életkörülményei közelítsenek a szabad élet általános körülményeihez, és ezáltal a szabadságvesztés káros hatásai enyhíthetők, illetve ellensúlyozhatók legyenek. Fontos továbbá, hogy a Bvtv. 83.§ (6) bekezdése rögzíti: a szabadságvesztés végrehajtása során az elítéltet csak a büntetés céljának eléréséhez szükséges mértékben lehet elkülöníteni a társadalom tagjaitól. Az elítélt számára biztosítani kell a büntetés céljával, valamint az intézet rendjével és biztonságával nem ellentétes családi, személyes és társadalmi kapcsolatok létesítését, fenntartását, illetve fejlesztését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Bv.tv. 164.§ (6) bekezdése pedig kimondja, hogy az eredményes reintegráció érdekében elő kell segíteni, hogy az elítélt családi és egyéb kapcsolatait fenntartsa, fejlessze.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Végezetül utalnom szükséges az Emberi Jogok Európai Egyezményének (EJEE) 8. cikkben foglalt magán- és családi élet tiszteletben tartásához fűződő jogra, és az  Emberi Jogok Európai Bíróságának (EJEB)  a Takó és Visztné kontra Magyarország ügyben hozott, 2023. október 12-i ítéletére. Ebben az ügyben a fogvatartott édesanyja és felesége, mint kérelmezők a családi- és magánélethez fűződő jogukat ért sérelem miatt fordultak az EJEB-hez, mert amikor hozzátartozójukat látogatták meg a börtönben, akkor őket plexifal választotta el egymástól. </w:t>
      </w:r>
    </w:p>
    <w:p w:rsidR="00000000" w:rsidDel="00000000" w:rsidP="00000000" w:rsidRDefault="00000000" w:rsidRPr="00000000" w14:paraId="0000001A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Az EJEB ítélete szerint a különböző biztonsági intézkedések, így a fogvatartott és a látogató elkülönítése (például plexivel), akkor lehetnek jogszerűek, akkor, ha azokat biztonsági megfontolások indokolják, nem minősülhetnek ugyanakkor szükségesnek, ha nem áll fenn biztonsági veszély. A bv. intézetnek egyénileg, az adott fogvatartott magatartására, személyes jellemzőire figyelemmel kell meghatároznia azt a biztonsági veszélyt, amely alapján a látogatófogadás korlátozását kívánja előírni. Tehát a korlátozásra vonatkozó döntésnek egyedinek, személyre szabottnak kell lennie. A konkrét ügyben a családtagok biztonsági elkülönítése rutindöntés volt, nem pedig valamely fennálló biztonsági kockázatra vonatkozó reakció. Az EJEB ezért arra a következtetésre jutott, hogy a hatóságok által alkalmazott intézkedések sértették a kérelmezők magán- és családi élethez fűződő jogát. Álláspontom szerint ezért a látogatásom jelenlegi körülményei sértik az EJEE 8. cikkében biztosított magán-és családi élet tiszteletben tartásához fűződő jogomat is. </w:t>
      </w:r>
    </w:p>
    <w:p w:rsidR="00000000" w:rsidDel="00000000" w:rsidP="00000000" w:rsidRDefault="00000000" w:rsidRPr="00000000" w14:paraId="0000001B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Pozitív döntésében bízva kérem beadványom elbírálását.</w:t>
      </w:r>
    </w:p>
    <w:p w:rsidR="00000000" w:rsidDel="00000000" w:rsidP="00000000" w:rsidRDefault="00000000" w:rsidRPr="00000000" w14:paraId="0000001C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Tisztelettel: 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…………………………..                                            ……………………………………</w:t>
        <w:tab/>
        <w:tab/>
        <w:tab/>
        <w:tab/>
      </w:r>
    </w:p>
    <w:p w:rsidR="00000000" w:rsidDel="00000000" w:rsidP="00000000" w:rsidRDefault="00000000" w:rsidRPr="00000000" w14:paraId="00000020">
      <w:pPr>
        <w:tabs>
          <w:tab w:val="left" w:leader="none" w:pos="5670"/>
        </w:tabs>
        <w:spacing w:after="0" w:line="240" w:lineRule="auto"/>
        <w:ind w:left="6372" w:hanging="509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hely, dátum</w:t>
        <w:tab/>
        <w:tab/>
        <w:t xml:space="preserve">kapcsolattartó aláírása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 megfelelő szó aláhúzásával jelezze, hogy kérelmet vagy panaszt nyújt be.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 Kizárólag a pontozott sorokban fogalmazhatja meg a beadványt és annak indokolását. Ha a beadvány szövege a pontozott sorokban nem fér el, újabb lapon vagy formanyomtatványon folytathatja a kitöltést.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beadványt olvasható kézírással vagy gépelt írással töltse ki.</w:t>
      </w:r>
    </w:p>
    <w:p w:rsidR="00000000" w:rsidDel="00000000" w:rsidP="00000000" w:rsidRDefault="00000000" w:rsidRPr="00000000" w14:paraId="00000027">
      <w:pPr>
        <w:tabs>
          <w:tab w:val="left" w:leader="none" w:pos="5670"/>
        </w:tabs>
        <w:spacing w:after="0" w:line="240" w:lineRule="auto"/>
        <w:ind w:left="6372" w:hanging="509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s50sdtS7laB8sHSditNgDF/VQ==">CgMxLjAyCGguZ2pkZ3hzOABqKQoUc3VnZ2VzdC53NTRwc3Y2c3AzaDQSEUthdGFsaW4gU3phamLDqWx5aikKFHN1Z2dlc3QuZWlrZ2kzdzVhbzRkEhFLYXRhbGluIFN6YWpiw6lseWopChRzdWdnZXN0LjVpYXRqeHkzOHY0ehIRS2F0YWxpbiBTemFqYsOpbHlqKQoUc3VnZ2VzdC42dGg2dWdmaHZ1anYSEUthdGFsaW4gU3phamLDqWx5aikKFHN1Z2dlc3QuMWs5dzM5ZjZhem1mEhFLYXRhbGluIFN6YWpiw6lseXIhMWRqWXdWVE1IcVZIU3NZM2F2NmxXMkQ4eG5pU1h3bX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